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48DD" w14:textId="007FE3BE" w:rsidR="00FF3DA5" w:rsidRPr="005402C9" w:rsidRDefault="003401F2" w:rsidP="00FF3DA5">
      <w:pPr>
        <w:jc w:val="both"/>
      </w:pPr>
      <w:r w:rsidRPr="005402C9">
        <w:t xml:space="preserve">3. prosince </w:t>
      </w:r>
      <w:r w:rsidR="00FF3DA5" w:rsidRPr="005402C9">
        <w:t>202</w:t>
      </w:r>
      <w:r w:rsidR="00747312" w:rsidRPr="005402C9">
        <w:t>5</w:t>
      </w:r>
    </w:p>
    <w:p w14:paraId="7F6005D2" w14:textId="36C3B3DB" w:rsidR="00972DEE" w:rsidRPr="005402C9" w:rsidRDefault="00972DEE" w:rsidP="1FA53D4F">
      <w:pPr>
        <w:spacing w:line="259" w:lineRule="auto"/>
        <w:jc w:val="both"/>
        <w:rPr>
          <w:b/>
          <w:bCs/>
          <w:sz w:val="28"/>
          <w:szCs w:val="28"/>
        </w:rPr>
      </w:pPr>
      <w:r w:rsidRPr="005402C9">
        <w:rPr>
          <w:b/>
          <w:bCs/>
          <w:sz w:val="28"/>
          <w:szCs w:val="28"/>
        </w:rPr>
        <w:t>Společnost Skanska prodala</w:t>
      </w:r>
      <w:r w:rsidR="006764BD">
        <w:rPr>
          <w:b/>
          <w:bCs/>
          <w:sz w:val="28"/>
          <w:szCs w:val="28"/>
        </w:rPr>
        <w:t xml:space="preserve"> AFI</w:t>
      </w:r>
      <w:r w:rsidRPr="005402C9">
        <w:rPr>
          <w:b/>
          <w:bCs/>
          <w:sz w:val="28"/>
          <w:szCs w:val="28"/>
        </w:rPr>
        <w:t xml:space="preserve"> kancelářský komplex Port7 v pražských Holešovicích </w:t>
      </w:r>
    </w:p>
    <w:p w14:paraId="49AB591D" w14:textId="11A34B5B" w:rsidR="00AA6C64" w:rsidRPr="005402C9" w:rsidRDefault="00AA6C64" w:rsidP="07AA68B8">
      <w:pPr>
        <w:spacing w:line="259" w:lineRule="auto"/>
        <w:jc w:val="both"/>
        <w:rPr>
          <w:b/>
          <w:bCs/>
          <w:sz w:val="22"/>
          <w:szCs w:val="22"/>
        </w:rPr>
      </w:pPr>
      <w:r w:rsidRPr="005402C9">
        <w:rPr>
          <w:b/>
          <w:bCs/>
          <w:sz w:val="22"/>
          <w:szCs w:val="22"/>
        </w:rPr>
        <w:t>Společnost Skanska uzavřela dohodu o prodeji kancelářského komplexu Port7, který se nachází v pražských Holešovicích, skupině AFI. Transakce v hodnotě 3,16 miliardy korun potvrzuje rostoucí zájem investorů o kvalitní a udržitelné projekty a současně podtrhuje silnou pozici společnosti Skanska jako lídra v oblasti udržitelného developmentu na českém trhu.</w:t>
      </w:r>
    </w:p>
    <w:p w14:paraId="5ADC3B86" w14:textId="3D659FA5" w:rsidR="00E53AB7" w:rsidRPr="00E53AB7" w:rsidRDefault="00E53AB7" w:rsidP="00E53AB7">
      <w:pPr>
        <w:spacing w:line="259" w:lineRule="auto"/>
        <w:jc w:val="both"/>
        <w:rPr>
          <w:sz w:val="22"/>
          <w:szCs w:val="22"/>
        </w:rPr>
      </w:pPr>
      <w:r w:rsidRPr="00E53AB7">
        <w:rPr>
          <w:sz w:val="22"/>
          <w:szCs w:val="22"/>
        </w:rPr>
        <w:t xml:space="preserve">Areál Port7 se nachází na břehu Vltavy v těsné blízkosti dopravního uzlu </w:t>
      </w:r>
      <w:r w:rsidR="00015791" w:rsidRPr="005402C9">
        <w:rPr>
          <w:sz w:val="22"/>
          <w:szCs w:val="22"/>
        </w:rPr>
        <w:t xml:space="preserve">v pražských </w:t>
      </w:r>
      <w:r w:rsidR="00DB4C63" w:rsidRPr="005402C9">
        <w:rPr>
          <w:sz w:val="22"/>
          <w:szCs w:val="22"/>
        </w:rPr>
        <w:t>Holešovicích</w:t>
      </w:r>
      <w:r w:rsidRPr="00E53AB7">
        <w:rPr>
          <w:sz w:val="22"/>
          <w:szCs w:val="22"/>
        </w:rPr>
        <w:t>. Skládá se ze tří kancelářských budov o celkové pronajímatelné ploše přibližně 36 000 m² a</w:t>
      </w:r>
      <w:r w:rsidR="00A86CC8" w:rsidRPr="005402C9">
        <w:rPr>
          <w:sz w:val="22"/>
          <w:szCs w:val="22"/>
        </w:rPr>
        <w:t> </w:t>
      </w:r>
      <w:r w:rsidRPr="00E53AB7">
        <w:rPr>
          <w:sz w:val="22"/>
          <w:szCs w:val="22"/>
        </w:rPr>
        <w:t>přilehlého pozemku určeného pro budoucí rozvoj. Všechny kancelářské a obchodní prostory jsou plně pronajaty a hostí nájemce z různých oborů – od IT</w:t>
      </w:r>
      <w:r w:rsidR="000B575F" w:rsidRPr="005402C9">
        <w:rPr>
          <w:sz w:val="22"/>
          <w:szCs w:val="22"/>
        </w:rPr>
        <w:t xml:space="preserve">, </w:t>
      </w:r>
      <w:r w:rsidRPr="00E53AB7">
        <w:rPr>
          <w:sz w:val="22"/>
          <w:szCs w:val="22"/>
        </w:rPr>
        <w:t xml:space="preserve">médií </w:t>
      </w:r>
      <w:r w:rsidR="000B575F" w:rsidRPr="005402C9">
        <w:rPr>
          <w:sz w:val="22"/>
          <w:szCs w:val="22"/>
        </w:rPr>
        <w:t xml:space="preserve">a vydavatelství </w:t>
      </w:r>
      <w:r w:rsidRPr="00E53AB7">
        <w:rPr>
          <w:sz w:val="22"/>
          <w:szCs w:val="22"/>
        </w:rPr>
        <w:t>přes flexibilní pracovní prostory, poradens</w:t>
      </w:r>
      <w:r w:rsidR="00584B0D" w:rsidRPr="005402C9">
        <w:rPr>
          <w:sz w:val="22"/>
          <w:szCs w:val="22"/>
        </w:rPr>
        <w:t xml:space="preserve">ké služby </w:t>
      </w:r>
      <w:r w:rsidRPr="00E53AB7">
        <w:rPr>
          <w:sz w:val="22"/>
          <w:szCs w:val="22"/>
        </w:rPr>
        <w:t>až po pojišťovnictví a inženýr</w:t>
      </w:r>
      <w:r w:rsidR="0012025A" w:rsidRPr="005402C9">
        <w:rPr>
          <w:sz w:val="22"/>
          <w:szCs w:val="22"/>
        </w:rPr>
        <w:t>ství</w:t>
      </w:r>
      <w:r w:rsidRPr="00E53AB7">
        <w:rPr>
          <w:sz w:val="22"/>
          <w:szCs w:val="22"/>
        </w:rPr>
        <w:t xml:space="preserve">. Mezi nájemce patří například společnosti </w:t>
      </w:r>
      <w:proofErr w:type="spellStart"/>
      <w:r w:rsidRPr="00E53AB7">
        <w:rPr>
          <w:sz w:val="22"/>
          <w:szCs w:val="22"/>
        </w:rPr>
        <w:t>Shoptet</w:t>
      </w:r>
      <w:proofErr w:type="spellEnd"/>
      <w:r w:rsidRPr="00E53AB7">
        <w:rPr>
          <w:sz w:val="22"/>
          <w:szCs w:val="22"/>
        </w:rPr>
        <w:t xml:space="preserve">, </w:t>
      </w:r>
      <w:proofErr w:type="spellStart"/>
      <w:r w:rsidRPr="00E53AB7">
        <w:rPr>
          <w:sz w:val="22"/>
          <w:szCs w:val="22"/>
        </w:rPr>
        <w:t>Aeven</w:t>
      </w:r>
      <w:proofErr w:type="spellEnd"/>
      <w:r w:rsidRPr="00E53AB7">
        <w:rPr>
          <w:sz w:val="22"/>
          <w:szCs w:val="22"/>
        </w:rPr>
        <w:t xml:space="preserve">, </w:t>
      </w:r>
      <w:proofErr w:type="spellStart"/>
      <w:r w:rsidRPr="00E53AB7">
        <w:rPr>
          <w:sz w:val="22"/>
          <w:szCs w:val="22"/>
        </w:rPr>
        <w:t>Sweco</w:t>
      </w:r>
      <w:proofErr w:type="spellEnd"/>
      <w:r w:rsidRPr="00E53AB7">
        <w:rPr>
          <w:sz w:val="22"/>
          <w:szCs w:val="22"/>
        </w:rPr>
        <w:t xml:space="preserve">, </w:t>
      </w:r>
      <w:proofErr w:type="spellStart"/>
      <w:r w:rsidRPr="00E53AB7">
        <w:rPr>
          <w:sz w:val="22"/>
          <w:szCs w:val="22"/>
        </w:rPr>
        <w:t>Economia</w:t>
      </w:r>
      <w:proofErr w:type="spellEnd"/>
      <w:r w:rsidRPr="00E53AB7">
        <w:rPr>
          <w:sz w:val="22"/>
          <w:szCs w:val="22"/>
        </w:rPr>
        <w:t>, Scott.Weber nebo COTY.</w:t>
      </w:r>
    </w:p>
    <w:p w14:paraId="4DE47C77" w14:textId="1D0CE100" w:rsidR="00E53AB7" w:rsidRPr="005402C9" w:rsidRDefault="00E53AB7" w:rsidP="00E53AB7">
      <w:pPr>
        <w:spacing w:line="259" w:lineRule="auto"/>
        <w:jc w:val="both"/>
        <w:rPr>
          <w:sz w:val="22"/>
          <w:szCs w:val="22"/>
        </w:rPr>
      </w:pPr>
      <w:r w:rsidRPr="00E53AB7">
        <w:rPr>
          <w:i/>
          <w:iCs/>
          <w:sz w:val="22"/>
          <w:szCs w:val="22"/>
        </w:rPr>
        <w:t xml:space="preserve">„Akvizice projektu Port7 představuje pro AFI další významný milník a potvrzuje náš dlouhodobý zájem o kvalitní a strategicky umístěné </w:t>
      </w:r>
      <w:r w:rsidR="00616FBB" w:rsidRPr="005402C9">
        <w:rPr>
          <w:i/>
          <w:iCs/>
          <w:sz w:val="22"/>
          <w:szCs w:val="22"/>
        </w:rPr>
        <w:t>projekty smíšeného využití</w:t>
      </w:r>
      <w:r w:rsidRPr="00E53AB7">
        <w:rPr>
          <w:i/>
          <w:iCs/>
          <w:sz w:val="22"/>
          <w:szCs w:val="22"/>
        </w:rPr>
        <w:t xml:space="preserve">. Port7 se </w:t>
      </w:r>
      <w:r w:rsidR="004C0CC5" w:rsidRPr="005402C9">
        <w:rPr>
          <w:i/>
          <w:iCs/>
          <w:sz w:val="22"/>
          <w:szCs w:val="22"/>
        </w:rPr>
        <w:t xml:space="preserve">po dokončení transakce </w:t>
      </w:r>
      <w:r w:rsidRPr="00E53AB7">
        <w:rPr>
          <w:i/>
          <w:iCs/>
          <w:sz w:val="22"/>
          <w:szCs w:val="22"/>
        </w:rPr>
        <w:t xml:space="preserve">stane cennou součástí našeho portfolia. Jsme hrdí na to, že se nám podařilo uzavřít první </w:t>
      </w:r>
      <w:r w:rsidR="009B51AB" w:rsidRPr="005402C9">
        <w:rPr>
          <w:i/>
          <w:iCs/>
          <w:sz w:val="22"/>
          <w:szCs w:val="22"/>
        </w:rPr>
        <w:t>dohody</w:t>
      </w:r>
      <w:r w:rsidRPr="00E53AB7">
        <w:rPr>
          <w:i/>
          <w:iCs/>
          <w:sz w:val="22"/>
          <w:szCs w:val="22"/>
        </w:rPr>
        <w:t xml:space="preserve"> se </w:t>
      </w:r>
      <w:r w:rsidR="009B51AB" w:rsidRPr="005402C9">
        <w:rPr>
          <w:i/>
          <w:iCs/>
          <w:sz w:val="22"/>
          <w:szCs w:val="22"/>
        </w:rPr>
        <w:t xml:space="preserve">společností </w:t>
      </w:r>
      <w:r w:rsidRPr="00E53AB7">
        <w:rPr>
          <w:i/>
          <w:iCs/>
          <w:sz w:val="22"/>
          <w:szCs w:val="22"/>
        </w:rPr>
        <w:t>Skans</w:t>
      </w:r>
      <w:r w:rsidR="009B51AB" w:rsidRPr="005402C9">
        <w:rPr>
          <w:i/>
          <w:iCs/>
          <w:sz w:val="22"/>
          <w:szCs w:val="22"/>
        </w:rPr>
        <w:t>ka</w:t>
      </w:r>
      <w:r w:rsidRPr="00E53AB7">
        <w:rPr>
          <w:i/>
          <w:iCs/>
          <w:sz w:val="22"/>
          <w:szCs w:val="22"/>
        </w:rPr>
        <w:t>, která zde realizovala</w:t>
      </w:r>
      <w:r w:rsidR="009B51AB" w:rsidRPr="005402C9">
        <w:rPr>
          <w:i/>
          <w:iCs/>
          <w:sz w:val="22"/>
          <w:szCs w:val="22"/>
        </w:rPr>
        <w:t xml:space="preserve"> výjimečný</w:t>
      </w:r>
      <w:r w:rsidRPr="00E53AB7">
        <w:rPr>
          <w:i/>
          <w:iCs/>
          <w:sz w:val="22"/>
          <w:szCs w:val="22"/>
        </w:rPr>
        <w:t xml:space="preserve"> projekt,“</w:t>
      </w:r>
      <w:r w:rsidRPr="00E53AB7">
        <w:rPr>
          <w:sz w:val="22"/>
          <w:szCs w:val="22"/>
        </w:rPr>
        <w:t xml:space="preserve"> uvedl </w:t>
      </w:r>
      <w:r w:rsidRPr="00E53AB7">
        <w:rPr>
          <w:b/>
          <w:bCs/>
          <w:sz w:val="22"/>
          <w:szCs w:val="22"/>
        </w:rPr>
        <w:t>Doron Klein, zástupce generálního ředitele skupiny AFI</w:t>
      </w:r>
      <w:r w:rsidRPr="00E53AB7">
        <w:rPr>
          <w:sz w:val="22"/>
          <w:szCs w:val="22"/>
        </w:rPr>
        <w:t>.</w:t>
      </w:r>
    </w:p>
    <w:p w14:paraId="70594EC9" w14:textId="7E20BDCB" w:rsidR="00771DCE" w:rsidRPr="005402C9" w:rsidRDefault="00A00DB7" w:rsidP="00483C51">
      <w:pPr>
        <w:spacing w:line="259" w:lineRule="auto"/>
        <w:jc w:val="both"/>
        <w:rPr>
          <w:i/>
          <w:iCs/>
          <w:sz w:val="22"/>
          <w:szCs w:val="22"/>
        </w:rPr>
      </w:pPr>
      <w:r w:rsidRPr="005402C9">
        <w:rPr>
          <w:i/>
          <w:iCs/>
          <w:sz w:val="22"/>
          <w:szCs w:val="22"/>
        </w:rPr>
        <w:t>„</w:t>
      </w:r>
      <w:r w:rsidR="009F3909" w:rsidRPr="009F3909">
        <w:rPr>
          <w:i/>
          <w:iCs/>
          <w:sz w:val="22"/>
          <w:szCs w:val="22"/>
        </w:rPr>
        <w:t>Nadále věříme v kancelářský sektor. Český kancelářský trh je silný, odolný a stabilní. Míra obsazenosti je vysoká napříč celým trhem i v rámci našeho portfolia. Naše budovy jsou živé a plně využívané po celý týden a celkově se blížíme téměř plné obsazenosti, což je velmi pozitivní signál. I proto si akvizice projektu Port7 tolik ceníme. Tento nedávno dokončený prémiový kancelářský komplex klade důraz na udržitelnost a nabízí pestrý program aktivit pro nájemce i obyvatele v okolí, který podporuje místní komunitu. To je plně v souladu s naší vizí i se stávajícím portfoliem</w:t>
      </w:r>
      <w:r w:rsidRPr="005402C9">
        <w:rPr>
          <w:i/>
          <w:iCs/>
          <w:sz w:val="22"/>
          <w:szCs w:val="22"/>
        </w:rPr>
        <w:t xml:space="preserve">,“ </w:t>
      </w:r>
      <w:r w:rsidRPr="005402C9">
        <w:rPr>
          <w:sz w:val="22"/>
          <w:szCs w:val="22"/>
        </w:rPr>
        <w:t xml:space="preserve">dodává </w:t>
      </w:r>
      <w:r w:rsidRPr="005402C9">
        <w:rPr>
          <w:b/>
          <w:bCs/>
          <w:sz w:val="22"/>
          <w:szCs w:val="22"/>
        </w:rPr>
        <w:t xml:space="preserve">Karin </w:t>
      </w:r>
      <w:proofErr w:type="spellStart"/>
      <w:r w:rsidRPr="005402C9">
        <w:rPr>
          <w:b/>
          <w:bCs/>
          <w:sz w:val="22"/>
          <w:szCs w:val="22"/>
        </w:rPr>
        <w:t>Shalev</w:t>
      </w:r>
      <w:proofErr w:type="spellEnd"/>
      <w:r w:rsidRPr="005402C9">
        <w:rPr>
          <w:b/>
          <w:bCs/>
          <w:sz w:val="22"/>
          <w:szCs w:val="22"/>
        </w:rPr>
        <w:t xml:space="preserve"> Shogol, generální ředitelka AFI Czech Republic</w:t>
      </w:r>
      <w:r w:rsidRPr="005402C9">
        <w:rPr>
          <w:sz w:val="22"/>
          <w:szCs w:val="22"/>
        </w:rPr>
        <w:t>.</w:t>
      </w:r>
    </w:p>
    <w:p w14:paraId="39C0AE7A" w14:textId="587ED818" w:rsidR="00A86CC8" w:rsidRPr="005402C9" w:rsidRDefault="00A86CC8" w:rsidP="00483C51">
      <w:pPr>
        <w:spacing w:line="259" w:lineRule="auto"/>
        <w:jc w:val="both"/>
        <w:rPr>
          <w:i/>
          <w:iCs/>
          <w:sz w:val="22"/>
          <w:szCs w:val="22"/>
        </w:rPr>
      </w:pPr>
      <w:r w:rsidRPr="005402C9">
        <w:rPr>
          <w:i/>
          <w:iCs/>
          <w:sz w:val="22"/>
          <w:szCs w:val="22"/>
        </w:rPr>
        <w:t>„Tato transakce potvrzuje, že mezinárodní kapitál má i nadále zájem o prvotřídní komerční nemovitosti v Praze. Port7 je příkladem projektu, který propojuje technickou kvalitu, uživatelsky vstřícné řešení a pozitivní dopad na své okolí. Díky certifikacím LEED, WELL a Access4You a</w:t>
      </w:r>
      <w:r w:rsidR="00061E6F" w:rsidRPr="005402C9">
        <w:rPr>
          <w:i/>
          <w:iCs/>
          <w:sz w:val="22"/>
          <w:szCs w:val="22"/>
        </w:rPr>
        <w:t xml:space="preserve"> </w:t>
      </w:r>
      <w:r w:rsidRPr="005402C9">
        <w:rPr>
          <w:i/>
          <w:iCs/>
          <w:sz w:val="22"/>
          <w:szCs w:val="22"/>
        </w:rPr>
        <w:t xml:space="preserve">důslednému uplatnění ESG principů oslovuje nejen své uživatele, ale i dlouhodobě uvažující investory,“ říká </w:t>
      </w:r>
      <w:r w:rsidRPr="005402C9">
        <w:rPr>
          <w:b/>
          <w:bCs/>
          <w:i/>
          <w:iCs/>
          <w:sz w:val="22"/>
          <w:szCs w:val="22"/>
        </w:rPr>
        <w:t xml:space="preserve">Tomáš Fabian, výkonný viceprezident pro provoz a právní záležitosti společnosti Skanska </w:t>
      </w:r>
      <w:proofErr w:type="spellStart"/>
      <w:r w:rsidRPr="005402C9">
        <w:rPr>
          <w:b/>
          <w:bCs/>
          <w:i/>
          <w:iCs/>
          <w:sz w:val="22"/>
          <w:szCs w:val="22"/>
        </w:rPr>
        <w:t>Commercial</w:t>
      </w:r>
      <w:proofErr w:type="spellEnd"/>
      <w:r w:rsidRPr="005402C9">
        <w:rPr>
          <w:b/>
          <w:bCs/>
          <w:i/>
          <w:iCs/>
          <w:sz w:val="22"/>
          <w:szCs w:val="22"/>
        </w:rPr>
        <w:t xml:space="preserve"> Development Europe</w:t>
      </w:r>
      <w:r w:rsidRPr="005402C9">
        <w:rPr>
          <w:i/>
          <w:iCs/>
          <w:sz w:val="22"/>
          <w:szCs w:val="22"/>
        </w:rPr>
        <w:t>.</w:t>
      </w:r>
    </w:p>
    <w:p w14:paraId="200B36FD" w14:textId="5C0E4E13" w:rsidR="008673AB" w:rsidRPr="008673AB" w:rsidRDefault="008673AB" w:rsidP="008673AB">
      <w:pPr>
        <w:spacing w:line="259" w:lineRule="auto"/>
        <w:jc w:val="both"/>
        <w:rPr>
          <w:i/>
          <w:iCs/>
          <w:sz w:val="22"/>
          <w:szCs w:val="22"/>
        </w:rPr>
      </w:pPr>
      <w:r w:rsidRPr="008673AB">
        <w:rPr>
          <w:i/>
          <w:iCs/>
          <w:sz w:val="22"/>
          <w:szCs w:val="22"/>
        </w:rPr>
        <w:t>„Jedná se o první transakci mezi Skans</w:t>
      </w:r>
      <w:r w:rsidR="006764BD">
        <w:rPr>
          <w:i/>
          <w:iCs/>
          <w:sz w:val="22"/>
          <w:szCs w:val="22"/>
        </w:rPr>
        <w:t>ka</w:t>
      </w:r>
      <w:r w:rsidRPr="008673AB">
        <w:rPr>
          <w:i/>
          <w:iCs/>
          <w:sz w:val="22"/>
          <w:szCs w:val="22"/>
        </w:rPr>
        <w:t xml:space="preserve"> a skupinou AFI ve střední a východní Evropě. Celý proces probíhal transparentně, hladce a v duchu férového obchodního jednání. </w:t>
      </w:r>
      <w:r w:rsidR="00DC77DF" w:rsidRPr="005402C9">
        <w:rPr>
          <w:i/>
          <w:iCs/>
          <w:sz w:val="22"/>
          <w:szCs w:val="22"/>
        </w:rPr>
        <w:t xml:space="preserve">Společnost </w:t>
      </w:r>
      <w:r w:rsidRPr="008673AB">
        <w:rPr>
          <w:i/>
          <w:iCs/>
          <w:sz w:val="22"/>
          <w:szCs w:val="22"/>
        </w:rPr>
        <w:t xml:space="preserve">AFI je </w:t>
      </w:r>
      <w:r w:rsidR="00A97F15" w:rsidRPr="005402C9">
        <w:rPr>
          <w:i/>
          <w:iCs/>
          <w:sz w:val="22"/>
          <w:szCs w:val="22"/>
        </w:rPr>
        <w:t xml:space="preserve">pro Port7 </w:t>
      </w:r>
      <w:r w:rsidRPr="008673AB">
        <w:rPr>
          <w:i/>
          <w:iCs/>
          <w:sz w:val="22"/>
          <w:szCs w:val="22"/>
        </w:rPr>
        <w:t>velmi vhodným investorem</w:t>
      </w:r>
      <w:r w:rsidR="00B8675C" w:rsidRPr="005402C9">
        <w:rPr>
          <w:i/>
          <w:iCs/>
          <w:sz w:val="22"/>
          <w:szCs w:val="22"/>
        </w:rPr>
        <w:t xml:space="preserve">, </w:t>
      </w:r>
      <w:r w:rsidR="00A97F15" w:rsidRPr="005402C9">
        <w:rPr>
          <w:i/>
          <w:iCs/>
          <w:sz w:val="22"/>
          <w:szCs w:val="22"/>
        </w:rPr>
        <w:t>který</w:t>
      </w:r>
      <w:r w:rsidRPr="008673AB">
        <w:rPr>
          <w:i/>
          <w:iCs/>
          <w:sz w:val="22"/>
          <w:szCs w:val="22"/>
        </w:rPr>
        <w:t xml:space="preserve"> má bohaté zkušenosti </w:t>
      </w:r>
      <w:r w:rsidR="003D02EA" w:rsidRPr="005402C9">
        <w:rPr>
          <w:i/>
          <w:iCs/>
          <w:sz w:val="22"/>
          <w:szCs w:val="22"/>
        </w:rPr>
        <w:t>jak ve správě aktivit, tak</w:t>
      </w:r>
      <w:r w:rsidRPr="008673AB">
        <w:rPr>
          <w:i/>
          <w:iCs/>
          <w:sz w:val="22"/>
          <w:szCs w:val="22"/>
        </w:rPr>
        <w:t xml:space="preserve"> i</w:t>
      </w:r>
      <w:r w:rsidR="00061E6F" w:rsidRPr="005402C9">
        <w:rPr>
          <w:i/>
          <w:iCs/>
          <w:sz w:val="22"/>
          <w:szCs w:val="22"/>
        </w:rPr>
        <w:t> </w:t>
      </w:r>
      <w:r w:rsidR="003D02EA" w:rsidRPr="005402C9">
        <w:rPr>
          <w:i/>
          <w:iCs/>
          <w:sz w:val="22"/>
          <w:szCs w:val="22"/>
        </w:rPr>
        <w:t xml:space="preserve">v oblasti </w:t>
      </w:r>
      <w:r w:rsidRPr="008673AB">
        <w:rPr>
          <w:i/>
          <w:iCs/>
          <w:sz w:val="22"/>
          <w:szCs w:val="22"/>
        </w:rPr>
        <w:t>develop</w:t>
      </w:r>
      <w:r w:rsidR="003D02EA" w:rsidRPr="005402C9">
        <w:rPr>
          <w:i/>
          <w:iCs/>
          <w:sz w:val="22"/>
          <w:szCs w:val="22"/>
        </w:rPr>
        <w:t>erských projektů</w:t>
      </w:r>
      <w:r w:rsidRPr="008673AB">
        <w:rPr>
          <w:i/>
          <w:iCs/>
          <w:sz w:val="22"/>
          <w:szCs w:val="22"/>
        </w:rPr>
        <w:t xml:space="preserve"> kancelářských a rezidenčních </w:t>
      </w:r>
      <w:r w:rsidR="008871D1" w:rsidRPr="005402C9">
        <w:rPr>
          <w:i/>
          <w:iCs/>
          <w:sz w:val="22"/>
          <w:szCs w:val="22"/>
        </w:rPr>
        <w:t>objektů. Díky tomu</w:t>
      </w:r>
      <w:r w:rsidRPr="008673AB">
        <w:rPr>
          <w:i/>
          <w:iCs/>
          <w:sz w:val="22"/>
          <w:szCs w:val="22"/>
        </w:rPr>
        <w:t xml:space="preserve"> </w:t>
      </w:r>
      <w:r w:rsidR="008871D1" w:rsidRPr="005402C9">
        <w:rPr>
          <w:i/>
          <w:iCs/>
          <w:sz w:val="22"/>
          <w:szCs w:val="22"/>
        </w:rPr>
        <w:t xml:space="preserve">tak </w:t>
      </w:r>
      <w:r w:rsidRPr="008673AB">
        <w:rPr>
          <w:i/>
          <w:iCs/>
          <w:sz w:val="22"/>
          <w:szCs w:val="22"/>
        </w:rPr>
        <w:t>dokáže</w:t>
      </w:r>
      <w:r w:rsidR="008871D1" w:rsidRPr="005402C9">
        <w:rPr>
          <w:i/>
          <w:iCs/>
          <w:sz w:val="22"/>
          <w:szCs w:val="22"/>
        </w:rPr>
        <w:t xml:space="preserve"> </w:t>
      </w:r>
      <w:r w:rsidRPr="008673AB">
        <w:rPr>
          <w:i/>
          <w:iCs/>
          <w:sz w:val="22"/>
          <w:szCs w:val="22"/>
        </w:rPr>
        <w:t xml:space="preserve">plynule navázat na naši dlouhodobou vizi rozvoje celého </w:t>
      </w:r>
      <w:r w:rsidR="000B232E" w:rsidRPr="005402C9">
        <w:rPr>
          <w:i/>
          <w:iCs/>
          <w:sz w:val="22"/>
          <w:szCs w:val="22"/>
        </w:rPr>
        <w:t>komplexu</w:t>
      </w:r>
      <w:r w:rsidRPr="008673AB">
        <w:rPr>
          <w:i/>
          <w:iCs/>
          <w:sz w:val="22"/>
          <w:szCs w:val="22"/>
        </w:rPr>
        <w:t xml:space="preserve">,“ doplňuje </w:t>
      </w:r>
      <w:r w:rsidRPr="008673AB">
        <w:rPr>
          <w:b/>
          <w:bCs/>
          <w:i/>
          <w:iCs/>
          <w:sz w:val="22"/>
          <w:szCs w:val="22"/>
        </w:rPr>
        <w:t xml:space="preserve">Kristýna Nettlová, ředitelka právního a transakčního oddělení Skanska </w:t>
      </w:r>
      <w:proofErr w:type="spellStart"/>
      <w:r w:rsidRPr="008673AB">
        <w:rPr>
          <w:b/>
          <w:bCs/>
          <w:i/>
          <w:iCs/>
          <w:sz w:val="22"/>
          <w:szCs w:val="22"/>
        </w:rPr>
        <w:t>Commercial</w:t>
      </w:r>
      <w:proofErr w:type="spellEnd"/>
      <w:r w:rsidRPr="008673AB">
        <w:rPr>
          <w:b/>
          <w:bCs/>
          <w:i/>
          <w:iCs/>
          <w:sz w:val="22"/>
          <w:szCs w:val="22"/>
        </w:rPr>
        <w:t xml:space="preserve"> Development v České republice</w:t>
      </w:r>
      <w:r w:rsidRPr="008673AB">
        <w:rPr>
          <w:i/>
          <w:iCs/>
          <w:sz w:val="22"/>
          <w:szCs w:val="22"/>
        </w:rPr>
        <w:t>.</w:t>
      </w:r>
    </w:p>
    <w:p w14:paraId="69494F64" w14:textId="2BD607EB" w:rsidR="008673AB" w:rsidRPr="008673AB" w:rsidRDefault="008673AB" w:rsidP="008673AB">
      <w:pPr>
        <w:spacing w:line="259" w:lineRule="auto"/>
        <w:jc w:val="both"/>
        <w:rPr>
          <w:sz w:val="22"/>
          <w:szCs w:val="22"/>
        </w:rPr>
      </w:pPr>
      <w:r w:rsidRPr="008673AB">
        <w:rPr>
          <w:sz w:val="22"/>
          <w:szCs w:val="22"/>
        </w:rPr>
        <w:t>Port7 vznikl na místě bývalé</w:t>
      </w:r>
      <w:r w:rsidR="00CC0BF9" w:rsidRPr="005402C9">
        <w:rPr>
          <w:sz w:val="22"/>
          <w:szCs w:val="22"/>
        </w:rPr>
        <w:t xml:space="preserve"> opuštěné a nepřístupné továrny. </w:t>
      </w:r>
      <w:r w:rsidR="00B66E19" w:rsidRPr="005402C9">
        <w:rPr>
          <w:sz w:val="22"/>
          <w:szCs w:val="22"/>
        </w:rPr>
        <w:t>Díky</w:t>
      </w:r>
      <w:r w:rsidRPr="008673AB">
        <w:rPr>
          <w:sz w:val="22"/>
          <w:szCs w:val="22"/>
        </w:rPr>
        <w:t xml:space="preserve"> </w:t>
      </w:r>
      <w:r w:rsidR="00B66E19" w:rsidRPr="005402C9">
        <w:rPr>
          <w:sz w:val="22"/>
          <w:szCs w:val="22"/>
        </w:rPr>
        <w:t>zpřístupnění</w:t>
      </w:r>
      <w:r w:rsidRPr="008673AB">
        <w:rPr>
          <w:sz w:val="22"/>
          <w:szCs w:val="22"/>
        </w:rPr>
        <w:t xml:space="preserve"> území veřejnosti se stal novým bodem na mapě Prahy</w:t>
      </w:r>
      <w:r w:rsidR="00A44C8A" w:rsidRPr="005402C9">
        <w:rPr>
          <w:sz w:val="22"/>
          <w:szCs w:val="22"/>
        </w:rPr>
        <w:t xml:space="preserve">, který nabízí </w:t>
      </w:r>
      <w:r w:rsidRPr="008673AB">
        <w:rPr>
          <w:sz w:val="22"/>
          <w:szCs w:val="22"/>
        </w:rPr>
        <w:t>moderní míst</w:t>
      </w:r>
      <w:r w:rsidR="00A44C8A" w:rsidRPr="005402C9">
        <w:rPr>
          <w:sz w:val="22"/>
          <w:szCs w:val="22"/>
        </w:rPr>
        <w:t>o</w:t>
      </w:r>
      <w:r w:rsidRPr="008673AB">
        <w:rPr>
          <w:sz w:val="22"/>
          <w:szCs w:val="22"/>
        </w:rPr>
        <w:t xml:space="preserve"> pro práci, odpočinek </w:t>
      </w:r>
      <w:r w:rsidRPr="008673AB">
        <w:rPr>
          <w:sz w:val="22"/>
          <w:szCs w:val="22"/>
        </w:rPr>
        <w:lastRenderedPageBreak/>
        <w:t>i</w:t>
      </w:r>
      <w:r w:rsidR="00061E6F" w:rsidRPr="005402C9">
        <w:rPr>
          <w:sz w:val="22"/>
          <w:szCs w:val="22"/>
        </w:rPr>
        <w:t> </w:t>
      </w:r>
      <w:r w:rsidRPr="008673AB">
        <w:rPr>
          <w:sz w:val="22"/>
          <w:szCs w:val="22"/>
        </w:rPr>
        <w:t>volnočasové aktivity. Nejvyšší budova má jedenáct nadzemních podlaží</w:t>
      </w:r>
      <w:r w:rsidR="000B08E2" w:rsidRPr="005402C9">
        <w:rPr>
          <w:sz w:val="22"/>
          <w:szCs w:val="22"/>
        </w:rPr>
        <w:t xml:space="preserve"> a</w:t>
      </w:r>
      <w:r w:rsidRPr="008673AB">
        <w:rPr>
          <w:sz w:val="22"/>
          <w:szCs w:val="22"/>
        </w:rPr>
        <w:t xml:space="preserve"> všechny objekty propojuje </w:t>
      </w:r>
      <w:r w:rsidR="000B08E2" w:rsidRPr="005402C9">
        <w:rPr>
          <w:sz w:val="22"/>
          <w:szCs w:val="22"/>
        </w:rPr>
        <w:t xml:space="preserve">sdílené </w:t>
      </w:r>
      <w:r w:rsidRPr="008673AB">
        <w:rPr>
          <w:sz w:val="22"/>
          <w:szCs w:val="22"/>
        </w:rPr>
        <w:t>podzemní parkoviště s kapacitou 262 míst. Součástí projektu je</w:t>
      </w:r>
      <w:r w:rsidR="000B08E2" w:rsidRPr="005402C9">
        <w:rPr>
          <w:sz w:val="22"/>
          <w:szCs w:val="22"/>
        </w:rPr>
        <w:t xml:space="preserve"> i </w:t>
      </w:r>
      <w:r w:rsidRPr="008673AB">
        <w:rPr>
          <w:sz w:val="22"/>
          <w:szCs w:val="22"/>
        </w:rPr>
        <w:t>promenáda a rozsáhlý veřejně přístupný park.</w:t>
      </w:r>
    </w:p>
    <w:p w14:paraId="698F4A8E" w14:textId="33ACB4EF" w:rsidR="00777658" w:rsidRPr="004F0ACA" w:rsidRDefault="004F0ACA" w:rsidP="004F0ACA">
      <w:pPr>
        <w:spacing w:line="259" w:lineRule="auto"/>
        <w:jc w:val="both"/>
        <w:rPr>
          <w:sz w:val="22"/>
          <w:szCs w:val="22"/>
        </w:rPr>
      </w:pPr>
      <w:r w:rsidRPr="004F0ACA">
        <w:rPr>
          <w:sz w:val="22"/>
          <w:szCs w:val="22"/>
        </w:rPr>
        <w:t xml:space="preserve">Port7 nabízí nejen špičkové kanceláře, ale i širokou škálu služeb </w:t>
      </w:r>
      <w:r w:rsidR="001111A4" w:rsidRPr="005402C9">
        <w:rPr>
          <w:sz w:val="22"/>
          <w:szCs w:val="22"/>
        </w:rPr>
        <w:t>a volnočasových aktivit. V</w:t>
      </w:r>
      <w:r w:rsidR="00790809" w:rsidRPr="005402C9">
        <w:rPr>
          <w:sz w:val="22"/>
          <w:szCs w:val="22"/>
        </w:rPr>
        <w:t> </w:t>
      </w:r>
      <w:r w:rsidR="001111A4" w:rsidRPr="005402C9">
        <w:rPr>
          <w:sz w:val="22"/>
          <w:szCs w:val="22"/>
        </w:rPr>
        <w:t>přízemí</w:t>
      </w:r>
      <w:r w:rsidR="00790809" w:rsidRPr="005402C9">
        <w:rPr>
          <w:sz w:val="22"/>
          <w:szCs w:val="22"/>
        </w:rPr>
        <w:t xml:space="preserve"> budov se nachází</w:t>
      </w:r>
      <w:r w:rsidRPr="004F0ACA">
        <w:rPr>
          <w:sz w:val="22"/>
          <w:szCs w:val="22"/>
        </w:rPr>
        <w:t xml:space="preserve"> kavárn</w:t>
      </w:r>
      <w:r w:rsidR="00790809" w:rsidRPr="005402C9">
        <w:rPr>
          <w:sz w:val="22"/>
          <w:szCs w:val="22"/>
        </w:rPr>
        <w:t>a</w:t>
      </w:r>
      <w:r w:rsidRPr="004F0ACA">
        <w:rPr>
          <w:sz w:val="22"/>
          <w:szCs w:val="22"/>
        </w:rPr>
        <w:t>, restaurace, lékárn</w:t>
      </w:r>
      <w:r w:rsidR="00790809" w:rsidRPr="005402C9">
        <w:rPr>
          <w:sz w:val="22"/>
          <w:szCs w:val="22"/>
        </w:rPr>
        <w:t>a,</w:t>
      </w:r>
      <w:r w:rsidRPr="004F0ACA">
        <w:rPr>
          <w:sz w:val="22"/>
          <w:szCs w:val="22"/>
        </w:rPr>
        <w:t xml:space="preserve"> oční klinik</w:t>
      </w:r>
      <w:r w:rsidR="00790809" w:rsidRPr="005402C9">
        <w:rPr>
          <w:sz w:val="22"/>
          <w:szCs w:val="22"/>
        </w:rPr>
        <w:t xml:space="preserve">a, </w:t>
      </w:r>
      <w:r w:rsidRPr="004F0ACA">
        <w:rPr>
          <w:sz w:val="22"/>
          <w:szCs w:val="22"/>
        </w:rPr>
        <w:t>fitness centrum a coworkingov</w:t>
      </w:r>
      <w:r w:rsidR="006764BD">
        <w:rPr>
          <w:sz w:val="22"/>
          <w:szCs w:val="22"/>
        </w:rPr>
        <w:t>é</w:t>
      </w:r>
      <w:r w:rsidRPr="004F0ACA">
        <w:rPr>
          <w:sz w:val="22"/>
          <w:szCs w:val="22"/>
        </w:rPr>
        <w:t xml:space="preserve"> centr</w:t>
      </w:r>
      <w:r w:rsidR="006764BD">
        <w:rPr>
          <w:sz w:val="22"/>
          <w:szCs w:val="22"/>
        </w:rPr>
        <w:t>um</w:t>
      </w:r>
      <w:r w:rsidRPr="004F0ACA">
        <w:rPr>
          <w:sz w:val="22"/>
          <w:szCs w:val="22"/>
        </w:rPr>
        <w:t xml:space="preserve">. Veřejný prostor doplňuje </w:t>
      </w:r>
      <w:r w:rsidR="00E930D3" w:rsidRPr="005402C9">
        <w:rPr>
          <w:sz w:val="22"/>
          <w:szCs w:val="22"/>
        </w:rPr>
        <w:t xml:space="preserve">park, </w:t>
      </w:r>
      <w:r w:rsidRPr="004F0ACA">
        <w:rPr>
          <w:sz w:val="22"/>
          <w:szCs w:val="22"/>
        </w:rPr>
        <w:t>komunitní zahrada, dětské hřiště</w:t>
      </w:r>
      <w:r w:rsidR="00E930D3" w:rsidRPr="005402C9">
        <w:rPr>
          <w:sz w:val="22"/>
          <w:szCs w:val="22"/>
        </w:rPr>
        <w:t xml:space="preserve"> a </w:t>
      </w:r>
      <w:r w:rsidRPr="004F0ACA">
        <w:rPr>
          <w:sz w:val="22"/>
          <w:szCs w:val="22"/>
        </w:rPr>
        <w:t>sportoviště</w:t>
      </w:r>
      <w:r w:rsidR="00E930D3" w:rsidRPr="005402C9">
        <w:rPr>
          <w:sz w:val="22"/>
          <w:szCs w:val="22"/>
        </w:rPr>
        <w:t>. Na břehu řeky se nachází</w:t>
      </w:r>
      <w:r w:rsidRPr="004F0ACA">
        <w:rPr>
          <w:sz w:val="22"/>
          <w:szCs w:val="22"/>
        </w:rPr>
        <w:t xml:space="preserve"> lezecká stěna a </w:t>
      </w:r>
      <w:r w:rsidR="00E930D3" w:rsidRPr="005402C9">
        <w:rPr>
          <w:sz w:val="22"/>
          <w:szCs w:val="22"/>
        </w:rPr>
        <w:t xml:space="preserve">prostor pro </w:t>
      </w:r>
      <w:r w:rsidRPr="004F0ACA">
        <w:rPr>
          <w:sz w:val="22"/>
          <w:szCs w:val="22"/>
        </w:rPr>
        <w:t>grilov</w:t>
      </w:r>
      <w:r w:rsidR="00E930D3" w:rsidRPr="005402C9">
        <w:rPr>
          <w:sz w:val="22"/>
          <w:szCs w:val="22"/>
        </w:rPr>
        <w:t>ání</w:t>
      </w:r>
      <w:r w:rsidRPr="004F0ACA">
        <w:rPr>
          <w:sz w:val="22"/>
          <w:szCs w:val="22"/>
        </w:rPr>
        <w:t>. Port7 se stal také kulturním centrem</w:t>
      </w:r>
      <w:r w:rsidR="00974B28" w:rsidRPr="005402C9">
        <w:rPr>
          <w:sz w:val="22"/>
          <w:szCs w:val="22"/>
        </w:rPr>
        <w:t>. P</w:t>
      </w:r>
      <w:r w:rsidRPr="004F0ACA">
        <w:rPr>
          <w:sz w:val="22"/>
          <w:szCs w:val="22"/>
        </w:rPr>
        <w:t>ravidelně se zde konají letní kina, koncerty, lekce jógy a další veřejné akce</w:t>
      </w:r>
      <w:r w:rsidR="00974B28" w:rsidRPr="005402C9">
        <w:rPr>
          <w:sz w:val="22"/>
          <w:szCs w:val="22"/>
        </w:rPr>
        <w:t>, které lákají návštěvníky z celé Prahy</w:t>
      </w:r>
      <w:r w:rsidRPr="004F0ACA">
        <w:rPr>
          <w:sz w:val="22"/>
          <w:szCs w:val="22"/>
        </w:rPr>
        <w:t>.</w:t>
      </w:r>
    </w:p>
    <w:p w14:paraId="53C469E4" w14:textId="32CE7C14" w:rsidR="007E7457" w:rsidRPr="005402C9" w:rsidRDefault="004F0ACA" w:rsidP="007E7457">
      <w:pPr>
        <w:spacing w:line="259" w:lineRule="auto"/>
        <w:jc w:val="both"/>
        <w:rPr>
          <w:sz w:val="22"/>
          <w:szCs w:val="22"/>
        </w:rPr>
      </w:pPr>
      <w:r w:rsidRPr="004F0ACA">
        <w:rPr>
          <w:sz w:val="22"/>
          <w:szCs w:val="22"/>
        </w:rPr>
        <w:t>Projekt využívá prvky cirkulární ekonomiky, včetně opětovného použití částí z demolic</w:t>
      </w:r>
      <w:r w:rsidR="00ED31BD" w:rsidRPr="005402C9">
        <w:rPr>
          <w:sz w:val="22"/>
          <w:szCs w:val="22"/>
        </w:rPr>
        <w:t>e</w:t>
      </w:r>
      <w:r w:rsidRPr="004F0ACA">
        <w:rPr>
          <w:sz w:val="22"/>
          <w:szCs w:val="22"/>
        </w:rPr>
        <w:t xml:space="preserve"> budov</w:t>
      </w:r>
      <w:r w:rsidR="00ED31BD" w:rsidRPr="005402C9">
        <w:rPr>
          <w:sz w:val="22"/>
          <w:szCs w:val="22"/>
        </w:rPr>
        <w:t>y</w:t>
      </w:r>
      <w:r w:rsidRPr="004F0ACA">
        <w:rPr>
          <w:sz w:val="22"/>
          <w:szCs w:val="22"/>
        </w:rPr>
        <w:t xml:space="preserve"> Skanska. Dosahuje více než 40</w:t>
      </w:r>
      <w:r w:rsidR="006D2D33" w:rsidRPr="005402C9">
        <w:rPr>
          <w:sz w:val="22"/>
          <w:szCs w:val="22"/>
        </w:rPr>
        <w:t xml:space="preserve"> </w:t>
      </w:r>
      <w:r w:rsidRPr="004F0ACA">
        <w:rPr>
          <w:sz w:val="22"/>
          <w:szCs w:val="22"/>
        </w:rPr>
        <w:t>% úspory vody oproti standardům LEED</w:t>
      </w:r>
      <w:r w:rsidR="00364430" w:rsidRPr="005402C9">
        <w:rPr>
          <w:sz w:val="22"/>
          <w:szCs w:val="22"/>
        </w:rPr>
        <w:t xml:space="preserve">. Projekt dosahuje nulových emisí elektřiny dle standardu </w:t>
      </w:r>
      <w:proofErr w:type="spellStart"/>
      <w:r w:rsidR="00364430" w:rsidRPr="005402C9">
        <w:rPr>
          <w:sz w:val="22"/>
          <w:szCs w:val="22"/>
        </w:rPr>
        <w:t>Scope</w:t>
      </w:r>
      <w:proofErr w:type="spellEnd"/>
      <w:r w:rsidR="00364430" w:rsidRPr="005402C9">
        <w:rPr>
          <w:sz w:val="22"/>
          <w:szCs w:val="22"/>
        </w:rPr>
        <w:t xml:space="preserve"> 2 díky získání záruk původu pokrývajících 100 procent spotřeby elektřiny z obnovitelných zdrojů během výstavby i provozu, a také díky instalaci fotovoltaických panelů na místě.</w:t>
      </w:r>
      <w:r w:rsidR="007E7457" w:rsidRPr="005402C9">
        <w:rPr>
          <w:sz w:val="22"/>
          <w:szCs w:val="22"/>
        </w:rPr>
        <w:t xml:space="preserve"> </w:t>
      </w:r>
      <w:r w:rsidR="001354EB" w:rsidRPr="005402C9">
        <w:rPr>
          <w:sz w:val="22"/>
          <w:szCs w:val="22"/>
        </w:rPr>
        <w:t>Port7 s</w:t>
      </w:r>
      <w:r w:rsidRPr="004F0ACA">
        <w:rPr>
          <w:sz w:val="22"/>
          <w:szCs w:val="22"/>
        </w:rPr>
        <w:t xml:space="preserve">plňuje požadavky standardu NZEB </w:t>
      </w:r>
      <w:r w:rsidR="00010FBD" w:rsidRPr="005402C9">
        <w:rPr>
          <w:sz w:val="22"/>
          <w:szCs w:val="22"/>
        </w:rPr>
        <w:t xml:space="preserve">s </w:t>
      </w:r>
      <w:r w:rsidRPr="004F0ACA">
        <w:rPr>
          <w:sz w:val="22"/>
          <w:szCs w:val="22"/>
        </w:rPr>
        <w:t>téměř nulov</w:t>
      </w:r>
      <w:r w:rsidR="00010FBD" w:rsidRPr="005402C9">
        <w:rPr>
          <w:sz w:val="22"/>
          <w:szCs w:val="22"/>
        </w:rPr>
        <w:t>ou</w:t>
      </w:r>
      <w:r w:rsidRPr="004F0ACA">
        <w:rPr>
          <w:sz w:val="22"/>
          <w:szCs w:val="22"/>
        </w:rPr>
        <w:t xml:space="preserve"> spotřeb</w:t>
      </w:r>
      <w:r w:rsidR="00010FBD" w:rsidRPr="005402C9">
        <w:rPr>
          <w:sz w:val="22"/>
          <w:szCs w:val="22"/>
        </w:rPr>
        <w:t>ou</w:t>
      </w:r>
      <w:r w:rsidRPr="004F0ACA">
        <w:rPr>
          <w:sz w:val="22"/>
          <w:szCs w:val="22"/>
        </w:rPr>
        <w:t xml:space="preserve"> energie</w:t>
      </w:r>
      <w:r w:rsidR="007E7457" w:rsidRPr="005402C9">
        <w:rPr>
          <w:sz w:val="22"/>
          <w:szCs w:val="22"/>
        </w:rPr>
        <w:t>. Od finanční instituce obdržel ověření shody s požadavky taxonomie EU pro ekonomickou činnost 7.1 (Stavební a realitní činnosti)</w:t>
      </w:r>
      <w:r w:rsidR="00256CA8" w:rsidRPr="005402C9">
        <w:rPr>
          <w:sz w:val="22"/>
          <w:szCs w:val="22"/>
        </w:rPr>
        <w:t>.</w:t>
      </w:r>
    </w:p>
    <w:p w14:paraId="472A9E3A" w14:textId="18EEA327" w:rsidR="003309ED" w:rsidRPr="005402C9" w:rsidRDefault="003309ED" w:rsidP="007E7457">
      <w:pPr>
        <w:spacing w:line="259" w:lineRule="auto"/>
        <w:jc w:val="both"/>
        <w:rPr>
          <w:sz w:val="22"/>
          <w:szCs w:val="22"/>
        </w:rPr>
      </w:pPr>
      <w:r w:rsidRPr="003309ED">
        <w:rPr>
          <w:sz w:val="22"/>
          <w:szCs w:val="22"/>
        </w:rPr>
        <w:t>V rámci projektu byla vypracována studie oběhového hospodářství s využitím 50letého přístupu životního cyklu s prioritou soběstačnosti, dlouhověkosti a dodržování principů oběhového hospodářství. Komplex také získal certifikaci Access4You, což je mezinárodní systém, který hodnotí a ověřuje přístupnost budov a veřejných prostor na základě potřeb různých skupin uživatelů.</w:t>
      </w:r>
    </w:p>
    <w:p w14:paraId="05B0C1DC" w14:textId="0FE09775" w:rsidR="00AA5223" w:rsidRPr="005402C9" w:rsidRDefault="004F0ACA" w:rsidP="009401F7">
      <w:pPr>
        <w:spacing w:line="259" w:lineRule="auto"/>
        <w:jc w:val="both"/>
        <w:rPr>
          <w:sz w:val="22"/>
          <w:szCs w:val="22"/>
        </w:rPr>
      </w:pPr>
      <w:r w:rsidRPr="004F0ACA">
        <w:rPr>
          <w:sz w:val="22"/>
          <w:szCs w:val="22"/>
        </w:rPr>
        <w:t xml:space="preserve">Poradci skupiny AFI byli společnosti </w:t>
      </w:r>
      <w:proofErr w:type="spellStart"/>
      <w:r w:rsidRPr="004F0ACA">
        <w:rPr>
          <w:sz w:val="22"/>
          <w:szCs w:val="22"/>
        </w:rPr>
        <w:t>Clifford</w:t>
      </w:r>
      <w:proofErr w:type="spellEnd"/>
      <w:r w:rsidRPr="004F0ACA">
        <w:rPr>
          <w:sz w:val="22"/>
          <w:szCs w:val="22"/>
        </w:rPr>
        <w:t xml:space="preserve"> </w:t>
      </w:r>
      <w:proofErr w:type="spellStart"/>
      <w:r w:rsidRPr="004F0ACA">
        <w:rPr>
          <w:sz w:val="22"/>
          <w:szCs w:val="22"/>
        </w:rPr>
        <w:t>Chance</w:t>
      </w:r>
      <w:proofErr w:type="spellEnd"/>
      <w:r w:rsidRPr="004F0ACA">
        <w:rPr>
          <w:sz w:val="22"/>
          <w:szCs w:val="22"/>
        </w:rPr>
        <w:t xml:space="preserve">, KPMG, CBRE a </w:t>
      </w:r>
      <w:proofErr w:type="spellStart"/>
      <w:r w:rsidRPr="004F0ACA">
        <w:rPr>
          <w:sz w:val="22"/>
          <w:szCs w:val="22"/>
        </w:rPr>
        <w:t>Grinity</w:t>
      </w:r>
      <w:proofErr w:type="spellEnd"/>
      <w:r w:rsidRPr="004F0ACA">
        <w:rPr>
          <w:sz w:val="22"/>
          <w:szCs w:val="22"/>
        </w:rPr>
        <w:t xml:space="preserve">. Skanska spolupracovala se </w:t>
      </w:r>
      <w:proofErr w:type="spellStart"/>
      <w:r w:rsidRPr="004F0ACA">
        <w:rPr>
          <w:sz w:val="22"/>
          <w:szCs w:val="22"/>
        </w:rPr>
        <w:t>Savills</w:t>
      </w:r>
      <w:proofErr w:type="spellEnd"/>
      <w:r w:rsidRPr="004F0ACA">
        <w:rPr>
          <w:sz w:val="22"/>
          <w:szCs w:val="22"/>
        </w:rPr>
        <w:t xml:space="preserve">, </w:t>
      </w:r>
      <w:proofErr w:type="spellStart"/>
      <w:r w:rsidRPr="004F0ACA">
        <w:rPr>
          <w:sz w:val="22"/>
          <w:szCs w:val="22"/>
        </w:rPr>
        <w:t>iO</w:t>
      </w:r>
      <w:proofErr w:type="spellEnd"/>
      <w:r w:rsidRPr="004F0ACA">
        <w:rPr>
          <w:sz w:val="22"/>
          <w:szCs w:val="22"/>
        </w:rPr>
        <w:t xml:space="preserve"> Partners a </w:t>
      </w:r>
      <w:proofErr w:type="spellStart"/>
      <w:r w:rsidRPr="004F0ACA">
        <w:rPr>
          <w:sz w:val="22"/>
          <w:szCs w:val="22"/>
        </w:rPr>
        <w:t>Dentons</w:t>
      </w:r>
      <w:proofErr w:type="spellEnd"/>
      <w:r w:rsidRPr="004F0ACA">
        <w:rPr>
          <w:sz w:val="22"/>
          <w:szCs w:val="22"/>
        </w:rPr>
        <w:t>.</w:t>
      </w:r>
    </w:p>
    <w:p w14:paraId="63B2B67B" w14:textId="77777777" w:rsidR="00AE1E17" w:rsidRPr="005402C9" w:rsidRDefault="00AE1E17" w:rsidP="009401F7">
      <w:pPr>
        <w:spacing w:line="259" w:lineRule="auto"/>
        <w:jc w:val="both"/>
        <w:rPr>
          <w:sz w:val="22"/>
          <w:szCs w:val="22"/>
        </w:rPr>
      </w:pPr>
    </w:p>
    <w:p w14:paraId="511D178B" w14:textId="19482A48" w:rsidR="000D192C" w:rsidRPr="005402C9" w:rsidRDefault="7CF29FCA" w:rsidP="7644473C">
      <w:pPr>
        <w:spacing w:line="259" w:lineRule="auto"/>
        <w:jc w:val="both"/>
        <w:rPr>
          <w:rFonts w:eastAsia="Calibri" w:cs="Calibri"/>
          <w:color w:val="000000" w:themeColor="text1"/>
        </w:rPr>
      </w:pPr>
      <w:r w:rsidRPr="005402C9">
        <w:rPr>
          <w:noProof/>
        </w:rPr>
        <w:drawing>
          <wp:inline distT="0" distB="0" distL="0" distR="0" wp14:anchorId="6F5C3AA4" wp14:editId="1A0DEA89">
            <wp:extent cx="5724524" cy="76200"/>
            <wp:effectExtent l="0" t="0" r="0" b="0"/>
            <wp:docPr id="1448697168" name="Picture 1448697168" descr="Obrazec Přímá spojnic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869716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550C2" w14:textId="68A81BB0" w:rsidR="000D192C" w:rsidRPr="005402C9" w:rsidRDefault="00ED459A" w:rsidP="520EE182">
      <w:pPr>
        <w:spacing w:after="0" w:line="259" w:lineRule="auto"/>
        <w:jc w:val="both"/>
        <w:rPr>
          <w:rFonts w:eastAsia="Calibri" w:cs="Calibri"/>
          <w:color w:val="000000" w:themeColor="text1"/>
          <w:sz w:val="20"/>
          <w:szCs w:val="20"/>
        </w:rPr>
      </w:pPr>
      <w:r w:rsidRPr="005402C9">
        <w:rPr>
          <w:rFonts w:eastAsia="Calibri" w:cs="Calibri"/>
          <w:b/>
          <w:bCs/>
          <w:color w:val="000000" w:themeColor="text1"/>
          <w:sz w:val="20"/>
          <w:szCs w:val="20"/>
        </w:rPr>
        <w:t>Kontakt za s</w:t>
      </w:r>
      <w:r w:rsidR="005402C9" w:rsidRPr="005402C9">
        <w:rPr>
          <w:rFonts w:eastAsia="Calibri" w:cs="Calibri"/>
          <w:b/>
          <w:bCs/>
          <w:color w:val="000000" w:themeColor="text1"/>
          <w:sz w:val="20"/>
          <w:szCs w:val="20"/>
        </w:rPr>
        <w:t>polečnost Skanska:</w:t>
      </w:r>
    </w:p>
    <w:p w14:paraId="159052FC" w14:textId="529ED072" w:rsidR="000D192C" w:rsidRPr="005402C9" w:rsidRDefault="0D686B14" w:rsidP="520EE182">
      <w:pPr>
        <w:spacing w:after="0" w:line="259" w:lineRule="auto"/>
        <w:jc w:val="both"/>
        <w:rPr>
          <w:rFonts w:eastAsia="Calibri" w:cs="Calibri"/>
          <w:color w:val="000000" w:themeColor="text1"/>
          <w:sz w:val="20"/>
          <w:szCs w:val="20"/>
        </w:rPr>
      </w:pPr>
      <w:r w:rsidRPr="005402C9">
        <w:rPr>
          <w:rFonts w:eastAsia="Calibri" w:cs="Calibri"/>
          <w:b/>
          <w:bCs/>
          <w:color w:val="000000" w:themeColor="text1"/>
          <w:sz w:val="20"/>
          <w:szCs w:val="20"/>
        </w:rPr>
        <w:t>Petra Veselá</w:t>
      </w:r>
      <w:r w:rsidRPr="005402C9">
        <w:rPr>
          <w:rFonts w:eastAsia="Calibri" w:cs="Calibri"/>
          <w:color w:val="000000" w:themeColor="text1"/>
          <w:sz w:val="20"/>
          <w:szCs w:val="20"/>
        </w:rPr>
        <w:t xml:space="preserve">, </w:t>
      </w:r>
      <w:proofErr w:type="spellStart"/>
      <w:r w:rsidRPr="005402C9">
        <w:rPr>
          <w:rFonts w:eastAsia="Calibri" w:cs="Calibri"/>
          <w:color w:val="000000" w:themeColor="text1"/>
          <w:sz w:val="20"/>
          <w:szCs w:val="20"/>
        </w:rPr>
        <w:t>Corporate</w:t>
      </w:r>
      <w:proofErr w:type="spellEnd"/>
      <w:r w:rsidRPr="005402C9">
        <w:rPr>
          <w:rFonts w:eastAsia="Calibri" w:cs="Calibri"/>
          <w:color w:val="000000" w:themeColor="text1"/>
          <w:sz w:val="20"/>
          <w:szCs w:val="20"/>
        </w:rPr>
        <w:t xml:space="preserve"> Marketing Manager </w:t>
      </w:r>
    </w:p>
    <w:p w14:paraId="73988986" w14:textId="04F25574" w:rsidR="000D192C" w:rsidRPr="005402C9" w:rsidRDefault="0D686B14" w:rsidP="520EE182">
      <w:pPr>
        <w:spacing w:after="0" w:line="259" w:lineRule="auto"/>
        <w:jc w:val="both"/>
        <w:rPr>
          <w:rFonts w:eastAsia="Calibri" w:cs="Calibri"/>
          <w:color w:val="000000" w:themeColor="text1"/>
          <w:sz w:val="20"/>
          <w:szCs w:val="20"/>
        </w:rPr>
      </w:pPr>
      <w:r w:rsidRPr="005402C9">
        <w:rPr>
          <w:rFonts w:eastAsia="Calibri" w:cs="Calibri"/>
          <w:color w:val="000000" w:themeColor="text1"/>
          <w:sz w:val="20"/>
          <w:szCs w:val="20"/>
        </w:rPr>
        <w:t>tel: +420 603 587 928  </w:t>
      </w:r>
    </w:p>
    <w:p w14:paraId="1539D03D" w14:textId="547CF921" w:rsidR="000D192C" w:rsidRPr="005402C9" w:rsidRDefault="0D686B14" w:rsidP="520EE182">
      <w:pPr>
        <w:spacing w:after="0" w:line="259" w:lineRule="auto"/>
        <w:jc w:val="both"/>
        <w:rPr>
          <w:rFonts w:eastAsia="Calibri" w:cs="Calibri"/>
          <w:color w:val="000000" w:themeColor="text1"/>
          <w:sz w:val="20"/>
          <w:szCs w:val="20"/>
        </w:rPr>
      </w:pPr>
      <w:r w:rsidRPr="005402C9">
        <w:rPr>
          <w:rFonts w:eastAsia="Calibri" w:cs="Calibri"/>
          <w:color w:val="000000" w:themeColor="text1"/>
          <w:sz w:val="20"/>
          <w:szCs w:val="20"/>
        </w:rPr>
        <w:t xml:space="preserve">email: </w:t>
      </w:r>
      <w:hyperlink r:id="rId11">
        <w:r w:rsidRPr="005402C9">
          <w:rPr>
            <w:rStyle w:val="Hypertextovodkaz"/>
            <w:rFonts w:eastAsia="Calibri" w:cs="Calibri"/>
            <w:color w:val="0563C1"/>
            <w:sz w:val="20"/>
            <w:szCs w:val="20"/>
          </w:rPr>
          <w:t>petra.vesela@skanska.cz</w:t>
        </w:r>
      </w:hyperlink>
      <w:r w:rsidRPr="005402C9">
        <w:rPr>
          <w:rFonts w:eastAsia="Calibri" w:cs="Calibri"/>
          <w:color w:val="000000" w:themeColor="text1"/>
          <w:sz w:val="20"/>
          <w:szCs w:val="20"/>
        </w:rPr>
        <w:t> </w:t>
      </w:r>
    </w:p>
    <w:p w14:paraId="127ADCDA" w14:textId="283A0A2A" w:rsidR="000D192C" w:rsidRPr="005402C9" w:rsidRDefault="0D686B14" w:rsidP="520EE182">
      <w:pPr>
        <w:spacing w:after="0" w:line="259" w:lineRule="auto"/>
        <w:jc w:val="both"/>
        <w:rPr>
          <w:rFonts w:eastAsia="Calibri" w:cs="Calibri"/>
          <w:color w:val="000000" w:themeColor="text1"/>
          <w:sz w:val="20"/>
          <w:szCs w:val="20"/>
        </w:rPr>
      </w:pPr>
      <w:r w:rsidRPr="005402C9">
        <w:rPr>
          <w:rFonts w:eastAsia="Calibri" w:cs="Calibri"/>
          <w:color w:val="000000" w:themeColor="text1"/>
          <w:sz w:val="20"/>
          <w:szCs w:val="20"/>
        </w:rPr>
        <w:t> </w:t>
      </w:r>
    </w:p>
    <w:p w14:paraId="56BF045B" w14:textId="0347F9E1" w:rsidR="000D192C" w:rsidRPr="005402C9" w:rsidRDefault="0D686B14" w:rsidP="5FACD233">
      <w:pPr>
        <w:spacing w:after="0" w:line="259" w:lineRule="auto"/>
        <w:jc w:val="both"/>
        <w:rPr>
          <w:rFonts w:eastAsia="Calibri" w:cs="Calibri"/>
          <w:color w:val="000000" w:themeColor="text1"/>
          <w:sz w:val="20"/>
          <w:szCs w:val="20"/>
        </w:rPr>
      </w:pPr>
      <w:r w:rsidRPr="005402C9">
        <w:rPr>
          <w:rFonts w:eastAsia="Calibri" w:cs="Calibri"/>
          <w:b/>
          <w:bCs/>
          <w:color w:val="000000" w:themeColor="text1"/>
          <w:sz w:val="20"/>
          <w:szCs w:val="20"/>
        </w:rPr>
        <w:t xml:space="preserve">Klára </w:t>
      </w:r>
      <w:proofErr w:type="spellStart"/>
      <w:r w:rsidRPr="005402C9">
        <w:rPr>
          <w:rFonts w:eastAsia="Calibri" w:cs="Calibri"/>
          <w:b/>
          <w:bCs/>
          <w:color w:val="000000" w:themeColor="text1"/>
          <w:sz w:val="20"/>
          <w:szCs w:val="20"/>
        </w:rPr>
        <w:t>Pirochová</w:t>
      </w:r>
      <w:proofErr w:type="spellEnd"/>
      <w:r w:rsidRPr="005402C9">
        <w:rPr>
          <w:rFonts w:eastAsia="Calibri" w:cs="Calibri"/>
          <w:b/>
          <w:bCs/>
          <w:color w:val="000000" w:themeColor="text1"/>
          <w:sz w:val="20"/>
          <w:szCs w:val="20"/>
        </w:rPr>
        <w:t>,</w:t>
      </w:r>
      <w:r w:rsidRPr="005402C9">
        <w:rPr>
          <w:rFonts w:eastAsia="Calibri" w:cs="Calibri"/>
          <w:color w:val="000000" w:themeColor="text1"/>
          <w:sz w:val="20"/>
          <w:szCs w:val="20"/>
        </w:rPr>
        <w:t xml:space="preserve"> Senior PR </w:t>
      </w:r>
      <w:proofErr w:type="spellStart"/>
      <w:r w:rsidRPr="005402C9">
        <w:rPr>
          <w:rFonts w:eastAsia="Calibri" w:cs="Calibri"/>
          <w:color w:val="000000" w:themeColor="text1"/>
          <w:sz w:val="20"/>
          <w:szCs w:val="20"/>
        </w:rPr>
        <w:t>Consultant</w:t>
      </w:r>
      <w:proofErr w:type="spellEnd"/>
      <w:r w:rsidRPr="005402C9">
        <w:rPr>
          <w:rFonts w:eastAsia="Calibri" w:cs="Calibri"/>
          <w:color w:val="000000" w:themeColor="text1"/>
          <w:sz w:val="20"/>
          <w:szCs w:val="20"/>
        </w:rPr>
        <w:t>  </w:t>
      </w:r>
    </w:p>
    <w:p w14:paraId="7C7A0415" w14:textId="46FBF00E" w:rsidR="000D192C" w:rsidRPr="005402C9" w:rsidRDefault="0D686B14" w:rsidP="69AB2EF9">
      <w:pPr>
        <w:spacing w:after="0" w:line="259" w:lineRule="auto"/>
        <w:jc w:val="both"/>
        <w:rPr>
          <w:rFonts w:eastAsia="Calibri" w:cs="Calibri"/>
          <w:color w:val="000000" w:themeColor="text1"/>
          <w:sz w:val="20"/>
          <w:szCs w:val="20"/>
        </w:rPr>
      </w:pPr>
      <w:r w:rsidRPr="005402C9">
        <w:rPr>
          <w:rFonts w:eastAsia="Calibri" w:cs="Calibri"/>
          <w:color w:val="000000" w:themeColor="text1"/>
          <w:sz w:val="20"/>
          <w:szCs w:val="20"/>
        </w:rPr>
        <w:t xml:space="preserve">tel: +420 732 </w:t>
      </w:r>
      <w:r w:rsidR="2ABD5137" w:rsidRPr="005402C9">
        <w:rPr>
          <w:rFonts w:eastAsia="Calibri" w:cs="Calibri"/>
          <w:color w:val="000000" w:themeColor="text1"/>
          <w:sz w:val="20"/>
          <w:szCs w:val="20"/>
        </w:rPr>
        <w:t>801 881</w:t>
      </w:r>
    </w:p>
    <w:p w14:paraId="6D906E2E" w14:textId="7898B36B" w:rsidR="000D192C" w:rsidRPr="005402C9" w:rsidRDefault="0D686B14" w:rsidP="5FACD233">
      <w:pPr>
        <w:spacing w:after="0" w:line="259" w:lineRule="auto"/>
        <w:jc w:val="both"/>
        <w:rPr>
          <w:rFonts w:eastAsia="Calibri" w:cs="Calibri"/>
          <w:color w:val="0563C1"/>
          <w:sz w:val="20"/>
          <w:szCs w:val="20"/>
          <w:u w:val="single"/>
        </w:rPr>
      </w:pPr>
      <w:r w:rsidRPr="005402C9">
        <w:rPr>
          <w:rFonts w:eastAsia="Calibri" w:cs="Calibri"/>
          <w:color w:val="000000" w:themeColor="text1"/>
          <w:sz w:val="20"/>
          <w:szCs w:val="20"/>
        </w:rPr>
        <w:t xml:space="preserve">email: </w:t>
      </w:r>
      <w:hyperlink r:id="rId12" w:history="1">
        <w:r w:rsidR="00824F96" w:rsidRPr="005402C9">
          <w:rPr>
            <w:rStyle w:val="Hypertextovodkaz"/>
            <w:rFonts w:eastAsia="Calibri" w:cs="Calibri"/>
            <w:sz w:val="20"/>
            <w:szCs w:val="20"/>
          </w:rPr>
          <w:t>klara.pirochova@knktr.cz</w:t>
        </w:r>
      </w:hyperlink>
    </w:p>
    <w:p w14:paraId="744AF718" w14:textId="77777777" w:rsidR="00824F96" w:rsidRPr="005402C9" w:rsidRDefault="00824F96" w:rsidP="5FACD233">
      <w:pPr>
        <w:spacing w:after="0" w:line="259" w:lineRule="auto"/>
        <w:jc w:val="both"/>
        <w:rPr>
          <w:rFonts w:eastAsia="Calibri" w:cs="Calibri"/>
          <w:color w:val="0563C1"/>
          <w:sz w:val="20"/>
          <w:szCs w:val="20"/>
          <w:u w:val="single"/>
        </w:rPr>
      </w:pPr>
    </w:p>
    <w:p w14:paraId="2D73BBB4" w14:textId="22282F39" w:rsidR="00824F96" w:rsidRPr="005402C9" w:rsidRDefault="005402C9" w:rsidP="00824F96">
      <w:pPr>
        <w:spacing w:after="0" w:line="259" w:lineRule="auto"/>
        <w:jc w:val="both"/>
        <w:rPr>
          <w:rFonts w:eastAsia="Calibri" w:cs="Calibri"/>
          <w:color w:val="000000" w:themeColor="text1"/>
          <w:sz w:val="20"/>
          <w:szCs w:val="20"/>
        </w:rPr>
      </w:pPr>
      <w:r>
        <w:rPr>
          <w:rFonts w:eastAsia="Calibri" w:cs="Calibri"/>
          <w:b/>
          <w:bCs/>
          <w:color w:val="000000" w:themeColor="text1"/>
          <w:sz w:val="20"/>
          <w:szCs w:val="20"/>
        </w:rPr>
        <w:t xml:space="preserve">Kontakt za společnost </w:t>
      </w:r>
      <w:r w:rsidR="00824F96" w:rsidRPr="005402C9">
        <w:rPr>
          <w:rFonts w:eastAsia="Calibri" w:cs="Calibri"/>
          <w:b/>
          <w:bCs/>
          <w:color w:val="000000" w:themeColor="text1"/>
          <w:sz w:val="20"/>
          <w:szCs w:val="20"/>
        </w:rPr>
        <w:t>AFI:</w:t>
      </w:r>
      <w:r w:rsidR="00824F96" w:rsidRPr="005402C9">
        <w:rPr>
          <w:rFonts w:eastAsia="Calibri" w:cs="Calibri"/>
          <w:color w:val="000000" w:themeColor="text1"/>
          <w:sz w:val="20"/>
          <w:szCs w:val="20"/>
        </w:rPr>
        <w:t> </w:t>
      </w:r>
    </w:p>
    <w:p w14:paraId="4BF4B75D" w14:textId="2BBBB410" w:rsidR="00824F96" w:rsidRPr="005402C9" w:rsidRDefault="00824F96" w:rsidP="00824F96">
      <w:pPr>
        <w:spacing w:after="0" w:line="259" w:lineRule="auto"/>
        <w:jc w:val="both"/>
        <w:rPr>
          <w:rFonts w:eastAsia="Calibri" w:cs="Calibri"/>
          <w:color w:val="000000" w:themeColor="text1"/>
          <w:sz w:val="20"/>
          <w:szCs w:val="20"/>
        </w:rPr>
      </w:pPr>
      <w:r w:rsidRPr="005402C9">
        <w:rPr>
          <w:rFonts w:eastAsia="Calibri" w:cs="Calibri"/>
          <w:b/>
          <w:bCs/>
          <w:color w:val="000000" w:themeColor="text1"/>
          <w:sz w:val="20"/>
          <w:szCs w:val="20"/>
        </w:rPr>
        <w:t>Denisa Kolaříková</w:t>
      </w:r>
      <w:r w:rsidRPr="005402C9">
        <w:rPr>
          <w:rFonts w:eastAsia="Calibri" w:cs="Calibri"/>
          <w:color w:val="000000" w:themeColor="text1"/>
          <w:sz w:val="20"/>
          <w:szCs w:val="20"/>
        </w:rPr>
        <w:t xml:space="preserve">, </w:t>
      </w:r>
      <w:proofErr w:type="spellStart"/>
      <w:r w:rsidRPr="005402C9">
        <w:rPr>
          <w:rFonts w:eastAsia="Calibri" w:cs="Calibri"/>
          <w:color w:val="000000" w:themeColor="text1"/>
          <w:sz w:val="20"/>
          <w:szCs w:val="20"/>
        </w:rPr>
        <w:t>Account</w:t>
      </w:r>
      <w:proofErr w:type="spellEnd"/>
      <w:r w:rsidRPr="005402C9">
        <w:rPr>
          <w:rFonts w:eastAsia="Calibri" w:cs="Calibri"/>
          <w:color w:val="000000" w:themeColor="text1"/>
          <w:sz w:val="20"/>
          <w:szCs w:val="20"/>
        </w:rPr>
        <w:t xml:space="preserve"> Manager </w:t>
      </w:r>
    </w:p>
    <w:p w14:paraId="062B55DD" w14:textId="311286EC" w:rsidR="00824F96" w:rsidRPr="005402C9" w:rsidRDefault="00824F96" w:rsidP="00824F96">
      <w:pPr>
        <w:spacing w:after="0" w:line="259" w:lineRule="auto"/>
        <w:jc w:val="both"/>
        <w:rPr>
          <w:rFonts w:eastAsia="Calibri" w:cs="Calibri"/>
          <w:color w:val="000000" w:themeColor="text1"/>
          <w:sz w:val="20"/>
          <w:szCs w:val="20"/>
        </w:rPr>
      </w:pPr>
      <w:r w:rsidRPr="005402C9">
        <w:rPr>
          <w:rFonts w:eastAsia="Calibri" w:cs="Calibri"/>
          <w:color w:val="000000" w:themeColor="text1"/>
          <w:sz w:val="20"/>
          <w:szCs w:val="20"/>
        </w:rPr>
        <w:t>tel: +420 731 613 606  </w:t>
      </w:r>
    </w:p>
    <w:p w14:paraId="4789A20D" w14:textId="2E1E8C2A" w:rsidR="00824F96" w:rsidRPr="005402C9" w:rsidRDefault="00824F96" w:rsidP="00824F96">
      <w:pPr>
        <w:spacing w:after="0" w:line="259" w:lineRule="auto"/>
        <w:jc w:val="both"/>
        <w:rPr>
          <w:rFonts w:eastAsia="Calibri" w:cs="Calibri"/>
          <w:color w:val="000000" w:themeColor="text1"/>
          <w:sz w:val="20"/>
          <w:szCs w:val="20"/>
        </w:rPr>
      </w:pPr>
      <w:r w:rsidRPr="005402C9">
        <w:rPr>
          <w:rFonts w:eastAsia="Calibri" w:cs="Calibri"/>
          <w:color w:val="000000" w:themeColor="text1"/>
          <w:sz w:val="20"/>
          <w:szCs w:val="20"/>
        </w:rPr>
        <w:t xml:space="preserve">email: </w:t>
      </w:r>
      <w:hyperlink r:id="rId13">
        <w:r w:rsidRPr="005402C9">
          <w:rPr>
            <w:rStyle w:val="Hypertextovodkaz"/>
            <w:rFonts w:eastAsia="Calibri" w:cs="Calibri"/>
            <w:color w:val="0563C1"/>
            <w:sz w:val="20"/>
            <w:szCs w:val="20"/>
          </w:rPr>
          <w:t>denisa.kolarikova@crestcom.cz</w:t>
        </w:r>
      </w:hyperlink>
      <w:r w:rsidRPr="005402C9">
        <w:rPr>
          <w:rFonts w:eastAsia="Calibri" w:cs="Calibri"/>
          <w:color w:val="000000" w:themeColor="text1"/>
          <w:sz w:val="20"/>
          <w:szCs w:val="20"/>
        </w:rPr>
        <w:t> </w:t>
      </w:r>
    </w:p>
    <w:p w14:paraId="63B8A2AC" w14:textId="77777777" w:rsidR="00824F96" w:rsidRPr="005402C9" w:rsidRDefault="00824F96" w:rsidP="520EE182">
      <w:pPr>
        <w:spacing w:after="0" w:line="259" w:lineRule="auto"/>
        <w:jc w:val="both"/>
        <w:rPr>
          <w:rFonts w:eastAsia="Calibri" w:cs="Calibri"/>
          <w:color w:val="000000" w:themeColor="text1"/>
          <w:sz w:val="20"/>
          <w:szCs w:val="20"/>
        </w:rPr>
      </w:pPr>
    </w:p>
    <w:p w14:paraId="260E6BF2" w14:textId="77777777" w:rsidR="005402C9" w:rsidRDefault="005402C9" w:rsidP="005E7035">
      <w:pPr>
        <w:spacing w:after="0" w:line="259" w:lineRule="auto"/>
        <w:jc w:val="both"/>
        <w:rPr>
          <w:rFonts w:eastAsia="Calibri" w:cs="Calibri"/>
          <w:b/>
          <w:bCs/>
          <w:i/>
          <w:iCs/>
          <w:color w:val="000000" w:themeColor="text1"/>
          <w:sz w:val="20"/>
          <w:szCs w:val="20"/>
        </w:rPr>
      </w:pPr>
    </w:p>
    <w:p w14:paraId="35A3AE3E" w14:textId="77777777" w:rsidR="005E7035" w:rsidRDefault="005E7035" w:rsidP="005E7035">
      <w:pPr>
        <w:spacing w:after="0" w:line="259" w:lineRule="auto"/>
        <w:jc w:val="both"/>
        <w:rPr>
          <w:rFonts w:eastAsia="Calibri" w:cs="Calibri"/>
          <w:b/>
          <w:bCs/>
          <w:i/>
          <w:iCs/>
          <w:color w:val="000000" w:themeColor="text1"/>
          <w:sz w:val="20"/>
          <w:szCs w:val="20"/>
        </w:rPr>
      </w:pPr>
    </w:p>
    <w:p w14:paraId="7FB59612" w14:textId="77777777" w:rsidR="00D66AC8" w:rsidRPr="00D66AC8" w:rsidRDefault="00D66AC8" w:rsidP="00D66AC8">
      <w:pPr>
        <w:spacing w:after="0" w:line="259" w:lineRule="auto"/>
        <w:jc w:val="both"/>
        <w:rPr>
          <w:rFonts w:eastAsia="Calibri" w:cs="Calibri"/>
          <w:b/>
          <w:bCs/>
          <w:i/>
          <w:iCs/>
          <w:color w:val="000000" w:themeColor="text1"/>
          <w:sz w:val="20"/>
          <w:szCs w:val="20"/>
        </w:rPr>
      </w:pPr>
      <w:r w:rsidRPr="00D66AC8">
        <w:rPr>
          <w:rFonts w:eastAsia="Calibri" w:cs="Calibri"/>
          <w:b/>
          <w:bCs/>
          <w:i/>
          <w:iCs/>
          <w:color w:val="000000" w:themeColor="text1"/>
          <w:sz w:val="20"/>
          <w:szCs w:val="20"/>
        </w:rPr>
        <w:t>Skanska, jednotka komerčního developmentu v České republice</w:t>
      </w:r>
    </w:p>
    <w:p w14:paraId="4F03FD91" w14:textId="5F3FE2FD" w:rsidR="00D66AC8" w:rsidRPr="00260011" w:rsidRDefault="00D66AC8" w:rsidP="005E7035">
      <w:pPr>
        <w:spacing w:after="0" w:line="259" w:lineRule="auto"/>
        <w:jc w:val="both"/>
        <w:rPr>
          <w:rFonts w:eastAsia="Calibri" w:cs="Calibri"/>
          <w:i/>
          <w:iCs/>
          <w:color w:val="000000" w:themeColor="text1"/>
          <w:sz w:val="20"/>
          <w:szCs w:val="20"/>
        </w:rPr>
      </w:pPr>
      <w:r w:rsidRPr="00D66AC8">
        <w:rPr>
          <w:rFonts w:eastAsia="Calibri" w:cs="Calibri"/>
          <w:i/>
          <w:iCs/>
          <w:color w:val="000000" w:themeColor="text1"/>
          <w:sz w:val="20"/>
          <w:szCs w:val="20"/>
        </w:rPr>
        <w:t xml:space="preserve">Jednotka komerčního developmentu společnosti Skanska v České republice se zaměřuje na výstavbu inovativních a nadčasových kancelářských projektů s důrazem na udržitelnost. Na českém trhu působí již </w:t>
      </w:r>
      <w:r w:rsidRPr="00D66AC8">
        <w:rPr>
          <w:rFonts w:eastAsia="Calibri" w:cs="Calibri"/>
          <w:i/>
          <w:iCs/>
          <w:color w:val="000000" w:themeColor="text1"/>
          <w:sz w:val="20"/>
          <w:szCs w:val="20"/>
        </w:rPr>
        <w:lastRenderedPageBreak/>
        <w:t>25 let a za tu dobu zde realizovala řadu projektů, včetně budovy Parkview, kterou v roce 2021 prodala za více než 2 miliardy korun.</w:t>
      </w:r>
      <w:r>
        <w:rPr>
          <w:rFonts w:eastAsia="Calibri" w:cs="Calibri"/>
          <w:i/>
          <w:iCs/>
          <w:color w:val="000000" w:themeColor="text1"/>
          <w:sz w:val="20"/>
          <w:szCs w:val="20"/>
        </w:rPr>
        <w:t xml:space="preserve"> </w:t>
      </w:r>
      <w:r w:rsidRPr="00D66AC8">
        <w:rPr>
          <w:rFonts w:eastAsia="Calibri" w:cs="Calibri"/>
          <w:i/>
          <w:iCs/>
          <w:color w:val="000000" w:themeColor="text1"/>
          <w:sz w:val="20"/>
          <w:szCs w:val="20"/>
        </w:rPr>
        <w:t xml:space="preserve">V současnosti pracuje na několika nových projektech v pražských Holešovicích, na Pankráci a Radlické, kde má za cíl vybudovat první uhlíkově neutrální kancelářskou budovu ve střední Evropě. U svých projektů usiluje o dosažení nejvyšších úrovní certifikací LEED, WELL </w:t>
      </w:r>
      <w:proofErr w:type="spellStart"/>
      <w:r w:rsidRPr="00D66AC8">
        <w:rPr>
          <w:rFonts w:eastAsia="Calibri" w:cs="Calibri"/>
          <w:i/>
          <w:iCs/>
          <w:color w:val="000000" w:themeColor="text1"/>
          <w:sz w:val="20"/>
          <w:szCs w:val="20"/>
        </w:rPr>
        <w:t>Core</w:t>
      </w:r>
      <w:proofErr w:type="spellEnd"/>
      <w:r w:rsidRPr="00D66AC8">
        <w:rPr>
          <w:rFonts w:eastAsia="Calibri" w:cs="Calibri"/>
          <w:i/>
          <w:iCs/>
          <w:color w:val="000000" w:themeColor="text1"/>
          <w:sz w:val="20"/>
          <w:szCs w:val="20"/>
        </w:rPr>
        <w:t xml:space="preserve"> &amp; Shell a WELL </w:t>
      </w:r>
      <w:proofErr w:type="spellStart"/>
      <w:r w:rsidRPr="00D66AC8">
        <w:rPr>
          <w:rFonts w:eastAsia="Calibri" w:cs="Calibri"/>
          <w:i/>
          <w:iCs/>
          <w:color w:val="000000" w:themeColor="text1"/>
          <w:sz w:val="20"/>
          <w:szCs w:val="20"/>
        </w:rPr>
        <w:t>Health-Safety</w:t>
      </w:r>
      <w:proofErr w:type="spellEnd"/>
      <w:r w:rsidRPr="00D66AC8">
        <w:rPr>
          <w:rFonts w:eastAsia="Calibri" w:cs="Calibri"/>
          <w:i/>
          <w:iCs/>
          <w:color w:val="000000" w:themeColor="text1"/>
          <w:sz w:val="20"/>
          <w:szCs w:val="20"/>
        </w:rPr>
        <w:t xml:space="preserve"> Rating.</w:t>
      </w:r>
      <w:r>
        <w:rPr>
          <w:rFonts w:eastAsia="Calibri" w:cs="Calibri"/>
          <w:i/>
          <w:iCs/>
          <w:color w:val="000000" w:themeColor="text1"/>
          <w:sz w:val="20"/>
          <w:szCs w:val="20"/>
        </w:rPr>
        <w:t xml:space="preserve"> </w:t>
      </w:r>
      <w:r w:rsidRPr="00D66AC8">
        <w:rPr>
          <w:rFonts w:eastAsia="Calibri" w:cs="Calibri"/>
          <w:i/>
          <w:iCs/>
          <w:color w:val="000000" w:themeColor="text1"/>
          <w:sz w:val="20"/>
          <w:szCs w:val="20"/>
        </w:rPr>
        <w:t>Je součástí jednotky komerčního developmentu Skanska pro střední a východní Evropu, která působí také v Polsku, Maďarsku a Rumunsku. V roce 2021 prodala komerční nemovitosti za více než 362 milionů eur (přes 9 miliard Kč) a pronajala 55 137 m² kancelářských ploch.</w:t>
      </w:r>
    </w:p>
    <w:p w14:paraId="58311B83" w14:textId="77777777" w:rsidR="00D66AC8" w:rsidRPr="005402C9" w:rsidRDefault="00D66AC8" w:rsidP="005E7035">
      <w:pPr>
        <w:spacing w:after="0" w:line="259" w:lineRule="auto"/>
        <w:jc w:val="both"/>
        <w:rPr>
          <w:rFonts w:eastAsia="Calibri" w:cs="Calibri"/>
          <w:b/>
          <w:bCs/>
          <w:i/>
          <w:iCs/>
          <w:color w:val="000000" w:themeColor="text1"/>
          <w:sz w:val="20"/>
          <w:szCs w:val="20"/>
        </w:rPr>
      </w:pPr>
    </w:p>
    <w:p w14:paraId="12354895" w14:textId="5CB8837F" w:rsidR="000D192C" w:rsidRPr="005402C9" w:rsidRDefault="0D686B14" w:rsidP="520EE182">
      <w:pPr>
        <w:spacing w:after="0" w:line="259" w:lineRule="auto"/>
        <w:jc w:val="both"/>
        <w:rPr>
          <w:rFonts w:eastAsia="Calibri" w:cs="Calibri"/>
          <w:color w:val="000000" w:themeColor="text1"/>
          <w:sz w:val="20"/>
          <w:szCs w:val="20"/>
        </w:rPr>
      </w:pPr>
      <w:r w:rsidRPr="005402C9">
        <w:rPr>
          <w:rFonts w:eastAsia="Calibri" w:cs="Calibri"/>
          <w:i/>
          <w:iCs/>
          <w:color w:val="000000" w:themeColor="text1"/>
          <w:sz w:val="20"/>
          <w:szCs w:val="20"/>
        </w:rPr>
        <w:t xml:space="preserve">LinkedIn: </w:t>
      </w:r>
      <w:hyperlink r:id="rId14">
        <w:r w:rsidRPr="005402C9">
          <w:rPr>
            <w:rStyle w:val="Hypertextovodkaz"/>
            <w:rFonts w:eastAsia="Calibri" w:cs="Calibri"/>
            <w:i/>
            <w:iCs/>
            <w:color w:val="0563C1"/>
            <w:sz w:val="20"/>
            <w:szCs w:val="20"/>
          </w:rPr>
          <w:t>https://www.linkedin.com/company/skanska/?originalSubdomain=cz</w:t>
        </w:r>
      </w:hyperlink>
      <w:r w:rsidRPr="005402C9">
        <w:rPr>
          <w:rFonts w:eastAsia="Calibri" w:cs="Calibri"/>
          <w:color w:val="000000" w:themeColor="text1"/>
          <w:sz w:val="20"/>
          <w:szCs w:val="20"/>
        </w:rPr>
        <w:t> </w:t>
      </w:r>
    </w:p>
    <w:p w14:paraId="0C101905" w14:textId="6D144348" w:rsidR="000D192C" w:rsidRPr="005402C9" w:rsidRDefault="0D686B14" w:rsidP="520EE182">
      <w:pPr>
        <w:spacing w:after="0" w:line="259" w:lineRule="auto"/>
        <w:jc w:val="both"/>
        <w:rPr>
          <w:rFonts w:eastAsia="Calibri" w:cs="Calibri"/>
          <w:color w:val="000000" w:themeColor="text1"/>
          <w:sz w:val="20"/>
          <w:szCs w:val="20"/>
        </w:rPr>
      </w:pPr>
      <w:r w:rsidRPr="005402C9">
        <w:rPr>
          <w:rFonts w:eastAsia="Calibri" w:cs="Calibri"/>
          <w:i/>
          <w:iCs/>
          <w:color w:val="000000" w:themeColor="text1"/>
          <w:sz w:val="20"/>
          <w:szCs w:val="20"/>
        </w:rPr>
        <w:t xml:space="preserve">Facebook: </w:t>
      </w:r>
      <w:hyperlink r:id="rId15">
        <w:r w:rsidRPr="005402C9">
          <w:rPr>
            <w:rStyle w:val="Hypertextovodkaz"/>
            <w:rFonts w:eastAsia="Calibri" w:cs="Calibri"/>
            <w:i/>
            <w:iCs/>
            <w:color w:val="0563C1"/>
            <w:sz w:val="20"/>
            <w:szCs w:val="20"/>
          </w:rPr>
          <w:t>https://www.facebook.com/Skanska.v.CR.a.SR/</w:t>
        </w:r>
      </w:hyperlink>
      <w:r w:rsidRPr="005402C9">
        <w:rPr>
          <w:rFonts w:eastAsia="Calibri" w:cs="Calibri"/>
          <w:color w:val="000000" w:themeColor="text1"/>
          <w:sz w:val="20"/>
          <w:szCs w:val="20"/>
        </w:rPr>
        <w:t> </w:t>
      </w:r>
    </w:p>
    <w:p w14:paraId="634B2633" w14:textId="10E9B489" w:rsidR="000D192C" w:rsidRPr="005402C9" w:rsidRDefault="005402C9" w:rsidP="520EE182">
      <w:pPr>
        <w:spacing w:after="0" w:line="259" w:lineRule="auto"/>
        <w:jc w:val="both"/>
        <w:rPr>
          <w:rFonts w:eastAsia="Calibri" w:cs="Calibri"/>
          <w:color w:val="000000" w:themeColor="text1"/>
          <w:sz w:val="20"/>
          <w:szCs w:val="20"/>
        </w:rPr>
      </w:pPr>
      <w:r>
        <w:rPr>
          <w:rFonts w:eastAsia="Calibri" w:cs="Calibri"/>
          <w:i/>
          <w:iCs/>
          <w:color w:val="000000" w:themeColor="text1"/>
          <w:sz w:val="20"/>
          <w:szCs w:val="20"/>
        </w:rPr>
        <w:t>Více informací</w:t>
      </w:r>
      <w:r w:rsidR="0D686B14" w:rsidRPr="005402C9">
        <w:rPr>
          <w:rFonts w:eastAsia="Calibri" w:cs="Calibri"/>
          <w:i/>
          <w:iCs/>
          <w:color w:val="000000" w:themeColor="text1"/>
          <w:sz w:val="20"/>
          <w:szCs w:val="20"/>
        </w:rPr>
        <w:t xml:space="preserve">: </w:t>
      </w:r>
      <w:hyperlink r:id="rId16">
        <w:r w:rsidR="0D686B14" w:rsidRPr="005402C9">
          <w:rPr>
            <w:rStyle w:val="Hypertextovodkaz"/>
            <w:rFonts w:eastAsia="Calibri" w:cs="Calibri"/>
            <w:i/>
            <w:iCs/>
            <w:sz w:val="20"/>
            <w:szCs w:val="20"/>
          </w:rPr>
          <w:t>https://www.skanska.cz/co-delame/development/komercni-development/</w:t>
        </w:r>
        <w:r w:rsidR="0D686B14" w:rsidRPr="005402C9">
          <w:rPr>
            <w:rStyle w:val="Hypertextovodkaz"/>
            <w:rFonts w:eastAsia="Calibri" w:cs="Calibri"/>
            <w:sz w:val="20"/>
            <w:szCs w:val="20"/>
          </w:rPr>
          <w:t> </w:t>
        </w:r>
      </w:hyperlink>
    </w:p>
    <w:p w14:paraId="77D312C3" w14:textId="31F12F46" w:rsidR="00D56E51" w:rsidRPr="005402C9" w:rsidRDefault="00824F96" w:rsidP="00D56E51">
      <w:pPr>
        <w:spacing w:after="0" w:line="240" w:lineRule="auto"/>
        <w:contextualSpacing/>
        <w:jc w:val="both"/>
        <w:rPr>
          <w:rFonts w:eastAsia="Cambria" w:cs="Calibri"/>
          <w:i/>
          <w:iCs/>
          <w:sz w:val="20"/>
          <w:szCs w:val="20"/>
        </w:rPr>
      </w:pPr>
      <w:r w:rsidRPr="005402C9">
        <w:rPr>
          <w:rFonts w:eastAsia="Cambria" w:cs="Cambria"/>
          <w:sz w:val="22"/>
          <w:szCs w:val="22"/>
        </w:rPr>
        <w:br/>
      </w:r>
      <w:r w:rsidR="00D56E51" w:rsidRPr="005402C9">
        <w:rPr>
          <w:rFonts w:eastAsia="Cambria" w:cs="Calibri"/>
          <w:b/>
          <w:bCs/>
          <w:i/>
          <w:iCs/>
          <w:sz w:val="20"/>
          <w:szCs w:val="20"/>
        </w:rPr>
        <w:t>AFI Group</w:t>
      </w:r>
      <w:r w:rsidR="00D56E51" w:rsidRPr="005402C9">
        <w:rPr>
          <w:rFonts w:eastAsia="Cambria" w:cs="Calibri"/>
          <w:i/>
          <w:iCs/>
          <w:sz w:val="20"/>
          <w:szCs w:val="20"/>
        </w:rPr>
        <w:t xml:space="preserve">, </w:t>
      </w:r>
      <w:r w:rsidR="002A0ED3" w:rsidRPr="002A0ED3">
        <w:rPr>
          <w:rFonts w:eastAsia="Cambria" w:cs="Calibri"/>
          <w:i/>
          <w:iCs/>
          <w:sz w:val="20"/>
          <w:szCs w:val="20"/>
        </w:rPr>
        <w:t>která je kótovaná na telavivské burze (TLV), se specializuje na komerční a rezidenční nemovitosti v Izraeli a ve střední a východní Evropě (CEE). Na českém trhu působí od roku 1997 a za tuto dobu zde realizovala řadu významných projektů. V současnosti spravuje portfolio výnosových nemovitostí o celkové rozloze 1,4 milionu m² s tržní hodnotou přibližně 4,6 miliardy eur (k 30. září 2025).</w:t>
      </w:r>
    </w:p>
    <w:p w14:paraId="566E81E4" w14:textId="77777777" w:rsidR="00D56E51" w:rsidRPr="005402C9" w:rsidRDefault="00D56E51" w:rsidP="00D56E51">
      <w:pPr>
        <w:spacing w:after="0" w:line="240" w:lineRule="auto"/>
        <w:contextualSpacing/>
        <w:jc w:val="both"/>
        <w:rPr>
          <w:rFonts w:eastAsia="Cambria" w:cs="Calibri"/>
          <w:i/>
          <w:iCs/>
          <w:sz w:val="20"/>
          <w:szCs w:val="20"/>
        </w:rPr>
      </w:pPr>
    </w:p>
    <w:p w14:paraId="548AF088" w14:textId="28B09D5F" w:rsidR="009B0987" w:rsidRPr="00F85175" w:rsidRDefault="00F85175" w:rsidP="009B0987">
      <w:pPr>
        <w:spacing w:after="200" w:line="276" w:lineRule="auto"/>
        <w:jc w:val="both"/>
        <w:rPr>
          <w:rFonts w:eastAsia="Cambria" w:cs="Calibri"/>
          <w:i/>
          <w:iCs/>
          <w:sz w:val="20"/>
          <w:szCs w:val="20"/>
        </w:rPr>
      </w:pPr>
      <w:r w:rsidRPr="00F85175">
        <w:rPr>
          <w:rFonts w:eastAsia="Cambria" w:cs="Calibri"/>
          <w:b/>
          <w:bCs/>
          <w:i/>
          <w:iCs/>
          <w:sz w:val="20"/>
          <w:szCs w:val="20"/>
        </w:rPr>
        <w:t xml:space="preserve">AFI Česká republika </w:t>
      </w:r>
      <w:r w:rsidRPr="00F85175">
        <w:rPr>
          <w:rFonts w:eastAsia="Cambria" w:cs="Calibri"/>
          <w:i/>
          <w:iCs/>
          <w:sz w:val="20"/>
          <w:szCs w:val="20"/>
        </w:rPr>
        <w:t xml:space="preserve">spravuje portfolio devíti aktiv v oblasti komerčních a bytových nemovitostí. Mezi klíčové komerční projekty patří například AFI Karlín, AFI Vokovice a AFI City, ve které se nachází sídlo české centrály AFI. V rámci konceptu nájemního bydlení AFI </w:t>
      </w:r>
      <w:proofErr w:type="spellStart"/>
      <w:r w:rsidRPr="00F85175">
        <w:rPr>
          <w:rFonts w:eastAsia="Cambria" w:cs="Calibri"/>
          <w:i/>
          <w:iCs/>
          <w:sz w:val="20"/>
          <w:szCs w:val="20"/>
        </w:rPr>
        <w:t>Home</w:t>
      </w:r>
      <w:proofErr w:type="spellEnd"/>
      <w:r w:rsidRPr="00F85175">
        <w:rPr>
          <w:rFonts w:eastAsia="Cambria" w:cs="Calibri"/>
          <w:i/>
          <w:iCs/>
          <w:sz w:val="20"/>
          <w:szCs w:val="20"/>
        </w:rPr>
        <w:t xml:space="preserve"> se může společnost pochlubit projekty ve třech pražských lokalitách – Karlín, Třebešín a Vysočany (Kolbenova) – a další dva projekty jsou aktuálně ve výstavbě.</w:t>
      </w:r>
    </w:p>
    <w:p w14:paraId="4DB3A9C7" w14:textId="5CEE8985" w:rsidR="009B0987" w:rsidRPr="005402C9" w:rsidRDefault="009B0987" w:rsidP="00203BBF">
      <w:pPr>
        <w:spacing w:after="0" w:line="240" w:lineRule="auto"/>
        <w:contextualSpacing/>
        <w:jc w:val="both"/>
        <w:rPr>
          <w:rFonts w:eastAsia="Cambria" w:cs="Calibri"/>
          <w:i/>
          <w:iCs/>
          <w:sz w:val="20"/>
          <w:szCs w:val="20"/>
        </w:rPr>
      </w:pPr>
      <w:r w:rsidRPr="005402C9">
        <w:rPr>
          <w:rFonts w:eastAsia="Cambria" w:cs="Calibri"/>
          <w:i/>
          <w:iCs/>
          <w:sz w:val="20"/>
          <w:szCs w:val="20"/>
        </w:rPr>
        <w:t xml:space="preserve">LinkedIn: </w:t>
      </w:r>
      <w:hyperlink r:id="rId17" w:history="1">
        <w:r w:rsidRPr="005402C9">
          <w:rPr>
            <w:rStyle w:val="Hypertextovodkaz"/>
            <w:rFonts w:eastAsia="Cambria" w:cs="Calibri"/>
            <w:i/>
            <w:iCs/>
            <w:sz w:val="20"/>
            <w:szCs w:val="20"/>
          </w:rPr>
          <w:t>https://cz.linkedin.com/company/afi-czech-republic</w:t>
        </w:r>
      </w:hyperlink>
    </w:p>
    <w:p w14:paraId="6331860B" w14:textId="5BEDC79C" w:rsidR="00824F96" w:rsidRPr="005402C9" w:rsidRDefault="005674B9" w:rsidP="00203BBF">
      <w:pPr>
        <w:spacing w:after="0" w:line="240" w:lineRule="auto"/>
        <w:contextualSpacing/>
        <w:jc w:val="both"/>
        <w:rPr>
          <w:rFonts w:eastAsia="Cambria" w:cs="Calibri"/>
          <w:i/>
          <w:iCs/>
          <w:sz w:val="20"/>
          <w:szCs w:val="20"/>
        </w:rPr>
      </w:pPr>
      <w:r>
        <w:rPr>
          <w:rFonts w:eastAsia="Cambria" w:cs="Calibri"/>
          <w:i/>
          <w:iCs/>
          <w:sz w:val="20"/>
          <w:szCs w:val="20"/>
        </w:rPr>
        <w:t>Více informací</w:t>
      </w:r>
      <w:r w:rsidR="009B0987" w:rsidRPr="005402C9">
        <w:rPr>
          <w:rFonts w:eastAsia="Cambria" w:cs="Calibri"/>
          <w:i/>
          <w:iCs/>
          <w:sz w:val="20"/>
          <w:szCs w:val="20"/>
        </w:rPr>
        <w:t xml:space="preserve">: </w:t>
      </w:r>
      <w:hyperlink r:id="rId18" w:history="1">
        <w:r w:rsidR="00824F96" w:rsidRPr="005402C9">
          <w:rPr>
            <w:rStyle w:val="Hypertextovodkaz"/>
            <w:rFonts w:eastAsia="Cambria" w:cs="Calibri"/>
            <w:i/>
            <w:iCs/>
            <w:sz w:val="20"/>
            <w:szCs w:val="20"/>
          </w:rPr>
          <w:t>https://www.afi-europe.cz/</w:t>
        </w:r>
      </w:hyperlink>
    </w:p>
    <w:p w14:paraId="075E9EEA" w14:textId="6C20BC47" w:rsidR="000D192C" w:rsidRPr="00203BBF" w:rsidRDefault="000D192C" w:rsidP="00824F96">
      <w:pPr>
        <w:rPr>
          <w:lang w:val="en-GB"/>
        </w:rPr>
      </w:pPr>
    </w:p>
    <w:sectPr w:rsidR="000D192C" w:rsidRPr="00203BBF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666CB" w14:textId="77777777" w:rsidR="00797BC0" w:rsidRPr="005402C9" w:rsidRDefault="00797BC0" w:rsidP="00517E27">
      <w:pPr>
        <w:spacing w:after="0" w:line="240" w:lineRule="auto"/>
      </w:pPr>
      <w:r w:rsidRPr="005402C9">
        <w:separator/>
      </w:r>
    </w:p>
  </w:endnote>
  <w:endnote w:type="continuationSeparator" w:id="0">
    <w:p w14:paraId="60D67432" w14:textId="77777777" w:rsidR="00797BC0" w:rsidRPr="005402C9" w:rsidRDefault="00797BC0" w:rsidP="00517E27">
      <w:pPr>
        <w:spacing w:after="0" w:line="240" w:lineRule="auto"/>
      </w:pPr>
      <w:r w:rsidRPr="005402C9">
        <w:continuationSeparator/>
      </w:r>
    </w:p>
  </w:endnote>
  <w:endnote w:type="continuationNotice" w:id="1">
    <w:p w14:paraId="63658BE8" w14:textId="77777777" w:rsidR="00797BC0" w:rsidRPr="005402C9" w:rsidRDefault="00797B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5188F0A" w:rsidRPr="005402C9" w14:paraId="4F4FE501" w14:textId="77777777" w:rsidTr="75188F0A">
      <w:trPr>
        <w:trHeight w:val="300"/>
      </w:trPr>
      <w:tc>
        <w:tcPr>
          <w:tcW w:w="3020" w:type="dxa"/>
        </w:tcPr>
        <w:p w14:paraId="2B77D195" w14:textId="1D830DF4" w:rsidR="75188F0A" w:rsidRPr="005402C9" w:rsidRDefault="75188F0A" w:rsidP="75188F0A">
          <w:pPr>
            <w:pStyle w:val="Zhlav"/>
            <w:ind w:left="-115"/>
          </w:pPr>
        </w:p>
      </w:tc>
      <w:tc>
        <w:tcPr>
          <w:tcW w:w="3020" w:type="dxa"/>
        </w:tcPr>
        <w:p w14:paraId="55127115" w14:textId="651D2AE4" w:rsidR="75188F0A" w:rsidRPr="005402C9" w:rsidRDefault="75188F0A" w:rsidP="75188F0A">
          <w:pPr>
            <w:pStyle w:val="Zhlav"/>
            <w:jc w:val="center"/>
          </w:pPr>
        </w:p>
      </w:tc>
      <w:tc>
        <w:tcPr>
          <w:tcW w:w="3020" w:type="dxa"/>
        </w:tcPr>
        <w:p w14:paraId="08DA15A5" w14:textId="1DC72256" w:rsidR="75188F0A" w:rsidRPr="005402C9" w:rsidRDefault="75188F0A" w:rsidP="75188F0A">
          <w:pPr>
            <w:pStyle w:val="Zhlav"/>
            <w:ind w:right="-115"/>
            <w:jc w:val="right"/>
          </w:pPr>
        </w:p>
      </w:tc>
    </w:tr>
  </w:tbl>
  <w:p w14:paraId="6A6BC0BE" w14:textId="1FCEC6BB" w:rsidR="75188F0A" w:rsidRPr="005402C9" w:rsidRDefault="75188F0A" w:rsidP="75188F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D0AB3" w14:textId="77777777" w:rsidR="00797BC0" w:rsidRPr="005402C9" w:rsidRDefault="00797BC0" w:rsidP="00517E27">
      <w:pPr>
        <w:spacing w:after="0" w:line="240" w:lineRule="auto"/>
      </w:pPr>
      <w:r w:rsidRPr="005402C9">
        <w:separator/>
      </w:r>
    </w:p>
  </w:footnote>
  <w:footnote w:type="continuationSeparator" w:id="0">
    <w:p w14:paraId="6AA96F6C" w14:textId="77777777" w:rsidR="00797BC0" w:rsidRPr="005402C9" w:rsidRDefault="00797BC0" w:rsidP="00517E27">
      <w:pPr>
        <w:spacing w:after="0" w:line="240" w:lineRule="auto"/>
      </w:pPr>
      <w:r w:rsidRPr="005402C9">
        <w:continuationSeparator/>
      </w:r>
    </w:p>
  </w:footnote>
  <w:footnote w:type="continuationNotice" w:id="1">
    <w:p w14:paraId="6E3470CF" w14:textId="77777777" w:rsidR="00797BC0" w:rsidRPr="005402C9" w:rsidRDefault="00797B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7DB4E" w14:textId="3DF08E93" w:rsidR="00431957" w:rsidRPr="005402C9" w:rsidRDefault="00431957">
    <w:pPr>
      <w:pStyle w:val="Zhlav"/>
    </w:pPr>
    <w:r w:rsidRPr="005402C9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09A7EA9" wp14:editId="37BCBB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26390" cy="334645"/>
              <wp:effectExtent l="0" t="0" r="16510" b="8255"/>
              <wp:wrapNone/>
              <wp:docPr id="1975825695" name="Textové pole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3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F703E3" w14:textId="7B5CE3EB" w:rsidR="00431957" w:rsidRPr="005402C9" w:rsidRDefault="00431957" w:rsidP="00431957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5402C9"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9A7EA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General" style="position:absolute;margin-left:0;margin-top:0;width:25.7pt;height:26.3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" filled="f" stroked="f">
              <v:textbox style="mso-fit-shape-to-text:t" inset="0,15pt,0,0">
                <w:txbxContent>
                  <w:p w14:paraId="0CF703E3" w14:textId="7B5CE3EB" w:rsidR="00431957" w:rsidRPr="005402C9" w:rsidRDefault="00431957" w:rsidP="00431957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</w:rPr>
                    </w:pPr>
                    <w:r w:rsidRPr="005402C9"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3DD4B" w14:textId="65CBF477" w:rsidR="00A274F4" w:rsidRPr="005402C9" w:rsidRDefault="008243D4" w:rsidP="00203BBF">
    <w:pPr>
      <w:pStyle w:val="Zhlav"/>
      <w:tabs>
        <w:tab w:val="clear" w:pos="9072"/>
        <w:tab w:val="right" w:pos="9046"/>
      </w:tabs>
      <w:jc w:val="right"/>
      <w:rPr>
        <w:sz w:val="32"/>
        <w:szCs w:val="32"/>
      </w:rPr>
    </w:pPr>
    <w:r w:rsidRPr="005402C9">
      <w:rPr>
        <w:noProof/>
        <w14:ligatures w14:val="standardContextual"/>
      </w:rPr>
      <w:drawing>
        <wp:inline distT="0" distB="0" distL="0" distR="0" wp14:anchorId="5C6E6700" wp14:editId="08601EF6">
          <wp:extent cx="701040" cy="373380"/>
          <wp:effectExtent l="0" t="0" r="3810" b="7620"/>
          <wp:docPr id="21248078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80781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3253" t="21777" r="2855" b="9368"/>
                  <a:stretch>
                    <a:fillRect/>
                  </a:stretch>
                </pic:blipFill>
                <pic:spPr bwMode="auto">
                  <a:xfrm>
                    <a:off x="0" y="0"/>
                    <a:ext cx="701612" cy="3736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274F4" w:rsidRPr="005402C9">
      <w:rPr>
        <w:noProof/>
      </w:rPr>
      <w:drawing>
        <wp:anchor distT="152400" distB="152400" distL="152400" distR="152400" simplePos="0" relativeHeight="251658240" behindDoc="1" locked="0" layoutInCell="1" allowOverlap="1" wp14:anchorId="069450BD" wp14:editId="02EA0DF9">
          <wp:simplePos x="0" y="0"/>
          <wp:positionH relativeFrom="page">
            <wp:posOffset>5768340</wp:posOffset>
          </wp:positionH>
          <wp:positionV relativeFrom="page">
            <wp:posOffset>311784</wp:posOffset>
          </wp:positionV>
          <wp:extent cx="899795" cy="132715"/>
          <wp:effectExtent l="0" t="0" r="0" b="0"/>
          <wp:wrapNone/>
          <wp:docPr id="1073741825" name="officeArt object" descr="Obrázek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6" descr="Obrázek 16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99795" cy="1327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18B11B22" w14:textId="03A17E3A" w:rsidR="00517E27" w:rsidRPr="005402C9" w:rsidRDefault="75188F0A" w:rsidP="75188F0A">
    <w:pPr>
      <w:tabs>
        <w:tab w:val="center" w:pos="4536"/>
        <w:tab w:val="right" w:pos="9072"/>
      </w:tabs>
      <w:spacing w:after="0" w:line="240" w:lineRule="auto"/>
    </w:pPr>
    <w:proofErr w:type="spellStart"/>
    <w:r w:rsidRPr="005402C9">
      <w:rPr>
        <w:color w:val="000000" w:themeColor="text1"/>
        <w:sz w:val="32"/>
        <w:szCs w:val="32"/>
      </w:rPr>
      <w:t>Press</w:t>
    </w:r>
    <w:proofErr w:type="spellEnd"/>
    <w:r w:rsidRPr="005402C9">
      <w:rPr>
        <w:color w:val="000000" w:themeColor="text1"/>
        <w:sz w:val="32"/>
        <w:szCs w:val="32"/>
      </w:rPr>
      <w:t xml:space="preserve"> </w:t>
    </w:r>
    <w:proofErr w:type="spellStart"/>
    <w:r w:rsidRPr="005402C9">
      <w:rPr>
        <w:color w:val="000000" w:themeColor="text1"/>
        <w:sz w:val="32"/>
        <w:szCs w:val="32"/>
      </w:rPr>
      <w:t>release</w:t>
    </w:r>
    <w:proofErr w:type="spellEnd"/>
  </w:p>
  <w:p w14:paraId="5450954C" w14:textId="4570EE76" w:rsidR="00517E27" w:rsidRPr="005402C9" w:rsidRDefault="00517E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B4A03" w14:textId="06FA0867" w:rsidR="00431957" w:rsidRPr="005402C9" w:rsidRDefault="00431957">
    <w:pPr>
      <w:pStyle w:val="Zhlav"/>
    </w:pPr>
    <w:r w:rsidRPr="005402C9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121092C" wp14:editId="0AC22CE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26390" cy="334645"/>
              <wp:effectExtent l="0" t="0" r="16510" b="8255"/>
              <wp:wrapNone/>
              <wp:docPr id="215516917" name="Textové pole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3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92568" w14:textId="465CFD2B" w:rsidR="00431957" w:rsidRPr="005402C9" w:rsidRDefault="00431957" w:rsidP="00431957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5402C9"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1092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General" style="position:absolute;margin-left:0;margin-top:0;width:25.7pt;height:26.3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" filled="f" stroked="f">
              <v:textbox style="mso-fit-shape-to-text:t" inset="0,15pt,0,0">
                <w:txbxContent>
                  <w:p w14:paraId="57392568" w14:textId="465CFD2B" w:rsidR="00431957" w:rsidRPr="005402C9" w:rsidRDefault="00431957" w:rsidP="00431957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</w:rPr>
                    </w:pPr>
                    <w:r w:rsidRPr="005402C9"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0F6670"/>
    <w:rsid w:val="00000B53"/>
    <w:rsid w:val="0000402E"/>
    <w:rsid w:val="00010FBD"/>
    <w:rsid w:val="00015727"/>
    <w:rsid w:val="00015791"/>
    <w:rsid w:val="00021889"/>
    <w:rsid w:val="00031456"/>
    <w:rsid w:val="00043D4B"/>
    <w:rsid w:val="000601A1"/>
    <w:rsid w:val="00061E6F"/>
    <w:rsid w:val="00070C95"/>
    <w:rsid w:val="00082B72"/>
    <w:rsid w:val="00085BF1"/>
    <w:rsid w:val="000A6400"/>
    <w:rsid w:val="000B08E2"/>
    <w:rsid w:val="000B0D7F"/>
    <w:rsid w:val="000B232E"/>
    <w:rsid w:val="000B575F"/>
    <w:rsid w:val="000D192C"/>
    <w:rsid w:val="000E7936"/>
    <w:rsid w:val="000F2894"/>
    <w:rsid w:val="000F799E"/>
    <w:rsid w:val="001066FF"/>
    <w:rsid w:val="001111A4"/>
    <w:rsid w:val="00117CBD"/>
    <w:rsid w:val="0012025A"/>
    <w:rsid w:val="0012617B"/>
    <w:rsid w:val="001354EB"/>
    <w:rsid w:val="00147215"/>
    <w:rsid w:val="00185675"/>
    <w:rsid w:val="001877AA"/>
    <w:rsid w:val="0019085B"/>
    <w:rsid w:val="001A1FB5"/>
    <w:rsid w:val="001B37E1"/>
    <w:rsid w:val="001B5AF4"/>
    <w:rsid w:val="001C714D"/>
    <w:rsid w:val="001F3967"/>
    <w:rsid w:val="0020090D"/>
    <w:rsid w:val="00202DA2"/>
    <w:rsid w:val="002038E9"/>
    <w:rsid w:val="00203BBF"/>
    <w:rsid w:val="00211E66"/>
    <w:rsid w:val="00212DB3"/>
    <w:rsid w:val="0022390D"/>
    <w:rsid w:val="0022482A"/>
    <w:rsid w:val="00241172"/>
    <w:rsid w:val="00253410"/>
    <w:rsid w:val="00256CA8"/>
    <w:rsid w:val="002573C3"/>
    <w:rsid w:val="00260011"/>
    <w:rsid w:val="002607BE"/>
    <w:rsid w:val="0027330E"/>
    <w:rsid w:val="0028097B"/>
    <w:rsid w:val="00285BDC"/>
    <w:rsid w:val="00292053"/>
    <w:rsid w:val="00297A6A"/>
    <w:rsid w:val="002A0ED3"/>
    <w:rsid w:val="002B5F47"/>
    <w:rsid w:val="002E6AEF"/>
    <w:rsid w:val="003029B9"/>
    <w:rsid w:val="0030331A"/>
    <w:rsid w:val="003247CD"/>
    <w:rsid w:val="003305F7"/>
    <w:rsid w:val="003309ED"/>
    <w:rsid w:val="003401F2"/>
    <w:rsid w:val="00346F8F"/>
    <w:rsid w:val="00351D15"/>
    <w:rsid w:val="00356C02"/>
    <w:rsid w:val="00360F3A"/>
    <w:rsid w:val="00364430"/>
    <w:rsid w:val="003832E3"/>
    <w:rsid w:val="00392252"/>
    <w:rsid w:val="003942A1"/>
    <w:rsid w:val="003A05E6"/>
    <w:rsid w:val="003B6968"/>
    <w:rsid w:val="003B7B4E"/>
    <w:rsid w:val="003C566A"/>
    <w:rsid w:val="003D02EA"/>
    <w:rsid w:val="003D2328"/>
    <w:rsid w:val="003E175D"/>
    <w:rsid w:val="003E2780"/>
    <w:rsid w:val="003E5F25"/>
    <w:rsid w:val="003F3A84"/>
    <w:rsid w:val="00431957"/>
    <w:rsid w:val="00436301"/>
    <w:rsid w:val="004454C2"/>
    <w:rsid w:val="00445FAD"/>
    <w:rsid w:val="00452706"/>
    <w:rsid w:val="004546C8"/>
    <w:rsid w:val="0045792E"/>
    <w:rsid w:val="004615D8"/>
    <w:rsid w:val="00463F13"/>
    <w:rsid w:val="00467308"/>
    <w:rsid w:val="00474BD1"/>
    <w:rsid w:val="00483000"/>
    <w:rsid w:val="00483C51"/>
    <w:rsid w:val="0049713D"/>
    <w:rsid w:val="004A16F4"/>
    <w:rsid w:val="004B1B8A"/>
    <w:rsid w:val="004B7B7E"/>
    <w:rsid w:val="004C0CC5"/>
    <w:rsid w:val="004D498D"/>
    <w:rsid w:val="004E5107"/>
    <w:rsid w:val="004E54A5"/>
    <w:rsid w:val="004E5687"/>
    <w:rsid w:val="004E6B33"/>
    <w:rsid w:val="004F0ACA"/>
    <w:rsid w:val="004F5D7C"/>
    <w:rsid w:val="004F70FE"/>
    <w:rsid w:val="004F7640"/>
    <w:rsid w:val="0050130C"/>
    <w:rsid w:val="0051194C"/>
    <w:rsid w:val="00513F91"/>
    <w:rsid w:val="005140D7"/>
    <w:rsid w:val="00514B1C"/>
    <w:rsid w:val="00517E27"/>
    <w:rsid w:val="005402C9"/>
    <w:rsid w:val="00544B2C"/>
    <w:rsid w:val="00545258"/>
    <w:rsid w:val="0055158C"/>
    <w:rsid w:val="00553C15"/>
    <w:rsid w:val="005674B9"/>
    <w:rsid w:val="00574544"/>
    <w:rsid w:val="00582DB7"/>
    <w:rsid w:val="00584B0D"/>
    <w:rsid w:val="00590159"/>
    <w:rsid w:val="005954EC"/>
    <w:rsid w:val="005958B0"/>
    <w:rsid w:val="005A0FFE"/>
    <w:rsid w:val="005A4D92"/>
    <w:rsid w:val="005A657F"/>
    <w:rsid w:val="005B0902"/>
    <w:rsid w:val="005B4EC1"/>
    <w:rsid w:val="005C3E3F"/>
    <w:rsid w:val="005E6798"/>
    <w:rsid w:val="005E7035"/>
    <w:rsid w:val="005F00D2"/>
    <w:rsid w:val="005F50AD"/>
    <w:rsid w:val="005F6031"/>
    <w:rsid w:val="005F619E"/>
    <w:rsid w:val="006021C4"/>
    <w:rsid w:val="006034E8"/>
    <w:rsid w:val="00616FBB"/>
    <w:rsid w:val="00627DE4"/>
    <w:rsid w:val="00634A98"/>
    <w:rsid w:val="00634D8E"/>
    <w:rsid w:val="00642E8A"/>
    <w:rsid w:val="0067586B"/>
    <w:rsid w:val="006764BD"/>
    <w:rsid w:val="00677467"/>
    <w:rsid w:val="00677FB7"/>
    <w:rsid w:val="006815D9"/>
    <w:rsid w:val="006A2D96"/>
    <w:rsid w:val="006B29CE"/>
    <w:rsid w:val="006C01EE"/>
    <w:rsid w:val="006C78E6"/>
    <w:rsid w:val="006D2D33"/>
    <w:rsid w:val="006D7E91"/>
    <w:rsid w:val="006E436E"/>
    <w:rsid w:val="006E6766"/>
    <w:rsid w:val="006F1EA0"/>
    <w:rsid w:val="006F575F"/>
    <w:rsid w:val="007150C6"/>
    <w:rsid w:val="00717AEE"/>
    <w:rsid w:val="007243E9"/>
    <w:rsid w:val="0073060E"/>
    <w:rsid w:val="00742617"/>
    <w:rsid w:val="00747265"/>
    <w:rsid w:val="00747312"/>
    <w:rsid w:val="0074788A"/>
    <w:rsid w:val="00766DF1"/>
    <w:rsid w:val="00767862"/>
    <w:rsid w:val="0077175E"/>
    <w:rsid w:val="00771DCE"/>
    <w:rsid w:val="00777658"/>
    <w:rsid w:val="007907ED"/>
    <w:rsid w:val="00790809"/>
    <w:rsid w:val="007936F9"/>
    <w:rsid w:val="00797BC0"/>
    <w:rsid w:val="007A721F"/>
    <w:rsid w:val="007B02D5"/>
    <w:rsid w:val="007B0DB0"/>
    <w:rsid w:val="007B143B"/>
    <w:rsid w:val="007B2862"/>
    <w:rsid w:val="007D34EF"/>
    <w:rsid w:val="007E4191"/>
    <w:rsid w:val="007E7457"/>
    <w:rsid w:val="007F3A36"/>
    <w:rsid w:val="007F7BBF"/>
    <w:rsid w:val="008170D2"/>
    <w:rsid w:val="008231C1"/>
    <w:rsid w:val="008243D4"/>
    <w:rsid w:val="00824F96"/>
    <w:rsid w:val="0083117F"/>
    <w:rsid w:val="008358E3"/>
    <w:rsid w:val="00836EEB"/>
    <w:rsid w:val="008438B2"/>
    <w:rsid w:val="008543E0"/>
    <w:rsid w:val="00861DC2"/>
    <w:rsid w:val="0086639A"/>
    <w:rsid w:val="008673AB"/>
    <w:rsid w:val="00884086"/>
    <w:rsid w:val="00885C4A"/>
    <w:rsid w:val="008871D1"/>
    <w:rsid w:val="008978F2"/>
    <w:rsid w:val="008A60A8"/>
    <w:rsid w:val="008A6493"/>
    <w:rsid w:val="008B0DB3"/>
    <w:rsid w:val="008B34E5"/>
    <w:rsid w:val="008B773B"/>
    <w:rsid w:val="008C2799"/>
    <w:rsid w:val="008F1D86"/>
    <w:rsid w:val="00917B9E"/>
    <w:rsid w:val="009254FA"/>
    <w:rsid w:val="009401F7"/>
    <w:rsid w:val="00942E9A"/>
    <w:rsid w:val="00946259"/>
    <w:rsid w:val="00947ACA"/>
    <w:rsid w:val="00960FE0"/>
    <w:rsid w:val="0096416B"/>
    <w:rsid w:val="009678E3"/>
    <w:rsid w:val="00971E55"/>
    <w:rsid w:val="00972DEE"/>
    <w:rsid w:val="00973772"/>
    <w:rsid w:val="00974B28"/>
    <w:rsid w:val="009851EA"/>
    <w:rsid w:val="009856FF"/>
    <w:rsid w:val="0099248B"/>
    <w:rsid w:val="009A4410"/>
    <w:rsid w:val="009A61FF"/>
    <w:rsid w:val="009B0987"/>
    <w:rsid w:val="009B0A0C"/>
    <w:rsid w:val="009B51AB"/>
    <w:rsid w:val="009C0399"/>
    <w:rsid w:val="009D2343"/>
    <w:rsid w:val="009E4F12"/>
    <w:rsid w:val="009F3142"/>
    <w:rsid w:val="009F3909"/>
    <w:rsid w:val="009F567D"/>
    <w:rsid w:val="009F7402"/>
    <w:rsid w:val="009F7EBC"/>
    <w:rsid w:val="00A00DB7"/>
    <w:rsid w:val="00A00E51"/>
    <w:rsid w:val="00A06EFA"/>
    <w:rsid w:val="00A1464B"/>
    <w:rsid w:val="00A16230"/>
    <w:rsid w:val="00A212D7"/>
    <w:rsid w:val="00A274F4"/>
    <w:rsid w:val="00A44C8A"/>
    <w:rsid w:val="00A473DC"/>
    <w:rsid w:val="00A558DA"/>
    <w:rsid w:val="00A56DFF"/>
    <w:rsid w:val="00A70C6D"/>
    <w:rsid w:val="00A752E6"/>
    <w:rsid w:val="00A764C8"/>
    <w:rsid w:val="00A86CC8"/>
    <w:rsid w:val="00A97F15"/>
    <w:rsid w:val="00AA24C0"/>
    <w:rsid w:val="00AA5223"/>
    <w:rsid w:val="00AA5B81"/>
    <w:rsid w:val="00AA5FF5"/>
    <w:rsid w:val="00AA6C64"/>
    <w:rsid w:val="00AB17DF"/>
    <w:rsid w:val="00AB3006"/>
    <w:rsid w:val="00AB3A28"/>
    <w:rsid w:val="00AB48BC"/>
    <w:rsid w:val="00AC00D5"/>
    <w:rsid w:val="00AD4EB1"/>
    <w:rsid w:val="00AD75B6"/>
    <w:rsid w:val="00AE1856"/>
    <w:rsid w:val="00AE1E17"/>
    <w:rsid w:val="00AE68A4"/>
    <w:rsid w:val="00AE7E76"/>
    <w:rsid w:val="00AF6A60"/>
    <w:rsid w:val="00B05A9B"/>
    <w:rsid w:val="00B069D6"/>
    <w:rsid w:val="00B1731A"/>
    <w:rsid w:val="00B20038"/>
    <w:rsid w:val="00B2449C"/>
    <w:rsid w:val="00B40A97"/>
    <w:rsid w:val="00B66062"/>
    <w:rsid w:val="00B66E19"/>
    <w:rsid w:val="00B72AC0"/>
    <w:rsid w:val="00B72EC4"/>
    <w:rsid w:val="00B73BF0"/>
    <w:rsid w:val="00B827FF"/>
    <w:rsid w:val="00B8675C"/>
    <w:rsid w:val="00B90048"/>
    <w:rsid w:val="00BA0332"/>
    <w:rsid w:val="00BB25F3"/>
    <w:rsid w:val="00BD6012"/>
    <w:rsid w:val="00BF182A"/>
    <w:rsid w:val="00BF3070"/>
    <w:rsid w:val="00BF5959"/>
    <w:rsid w:val="00C1188B"/>
    <w:rsid w:val="00C26E6F"/>
    <w:rsid w:val="00C279ED"/>
    <w:rsid w:val="00C44F53"/>
    <w:rsid w:val="00C47196"/>
    <w:rsid w:val="00C5521D"/>
    <w:rsid w:val="00C678D1"/>
    <w:rsid w:val="00C74B24"/>
    <w:rsid w:val="00C85EEA"/>
    <w:rsid w:val="00CC0BF9"/>
    <w:rsid w:val="00CC7D4D"/>
    <w:rsid w:val="00CD798F"/>
    <w:rsid w:val="00CF1E31"/>
    <w:rsid w:val="00D04A30"/>
    <w:rsid w:val="00D1093D"/>
    <w:rsid w:val="00D10E8A"/>
    <w:rsid w:val="00D2245B"/>
    <w:rsid w:val="00D24BF8"/>
    <w:rsid w:val="00D267BC"/>
    <w:rsid w:val="00D347AA"/>
    <w:rsid w:val="00D34E71"/>
    <w:rsid w:val="00D46ADA"/>
    <w:rsid w:val="00D51227"/>
    <w:rsid w:val="00D56B24"/>
    <w:rsid w:val="00D56E51"/>
    <w:rsid w:val="00D572FA"/>
    <w:rsid w:val="00D66AC8"/>
    <w:rsid w:val="00D7262C"/>
    <w:rsid w:val="00D76D84"/>
    <w:rsid w:val="00D80A62"/>
    <w:rsid w:val="00D81595"/>
    <w:rsid w:val="00D86DFF"/>
    <w:rsid w:val="00D927C6"/>
    <w:rsid w:val="00D94282"/>
    <w:rsid w:val="00DA5FA1"/>
    <w:rsid w:val="00DB4C63"/>
    <w:rsid w:val="00DB4D0E"/>
    <w:rsid w:val="00DB5729"/>
    <w:rsid w:val="00DC77DF"/>
    <w:rsid w:val="00DF30B5"/>
    <w:rsid w:val="00E1518E"/>
    <w:rsid w:val="00E25F00"/>
    <w:rsid w:val="00E305ED"/>
    <w:rsid w:val="00E50C9C"/>
    <w:rsid w:val="00E53AB7"/>
    <w:rsid w:val="00E57FFC"/>
    <w:rsid w:val="00E60EA7"/>
    <w:rsid w:val="00E70686"/>
    <w:rsid w:val="00E814D4"/>
    <w:rsid w:val="00E84535"/>
    <w:rsid w:val="00E84F98"/>
    <w:rsid w:val="00E85FAF"/>
    <w:rsid w:val="00E873AC"/>
    <w:rsid w:val="00E930D3"/>
    <w:rsid w:val="00E93D06"/>
    <w:rsid w:val="00E972C0"/>
    <w:rsid w:val="00EA52E3"/>
    <w:rsid w:val="00EB0F6B"/>
    <w:rsid w:val="00EB2905"/>
    <w:rsid w:val="00EB32E3"/>
    <w:rsid w:val="00EC4EB7"/>
    <w:rsid w:val="00ED31BD"/>
    <w:rsid w:val="00ED3CC8"/>
    <w:rsid w:val="00ED459A"/>
    <w:rsid w:val="00ED5723"/>
    <w:rsid w:val="00EE2101"/>
    <w:rsid w:val="00EF3D24"/>
    <w:rsid w:val="00F0661F"/>
    <w:rsid w:val="00F06F3B"/>
    <w:rsid w:val="00F13F83"/>
    <w:rsid w:val="00F21952"/>
    <w:rsid w:val="00F254B9"/>
    <w:rsid w:val="00F26F65"/>
    <w:rsid w:val="00F34408"/>
    <w:rsid w:val="00F45495"/>
    <w:rsid w:val="00F576AB"/>
    <w:rsid w:val="00F74074"/>
    <w:rsid w:val="00F85175"/>
    <w:rsid w:val="00F87D1D"/>
    <w:rsid w:val="00FB186B"/>
    <w:rsid w:val="00FC6D9B"/>
    <w:rsid w:val="00FE565A"/>
    <w:rsid w:val="00FE5F87"/>
    <w:rsid w:val="00FF3DA5"/>
    <w:rsid w:val="02205633"/>
    <w:rsid w:val="02231CD6"/>
    <w:rsid w:val="025EC59C"/>
    <w:rsid w:val="0393A245"/>
    <w:rsid w:val="03FA79EB"/>
    <w:rsid w:val="043547AD"/>
    <w:rsid w:val="04FD2084"/>
    <w:rsid w:val="051D6B2D"/>
    <w:rsid w:val="07AA68B8"/>
    <w:rsid w:val="083DCBE5"/>
    <w:rsid w:val="08B7A9BA"/>
    <w:rsid w:val="090E6434"/>
    <w:rsid w:val="096505C6"/>
    <w:rsid w:val="096E998C"/>
    <w:rsid w:val="09868238"/>
    <w:rsid w:val="09ED63C0"/>
    <w:rsid w:val="0A634570"/>
    <w:rsid w:val="0A75126D"/>
    <w:rsid w:val="0AD2419B"/>
    <w:rsid w:val="0B773BE4"/>
    <w:rsid w:val="0BAA75AE"/>
    <w:rsid w:val="0BBA3DAA"/>
    <w:rsid w:val="0C240CFC"/>
    <w:rsid w:val="0C419524"/>
    <w:rsid w:val="0D18704F"/>
    <w:rsid w:val="0D686B14"/>
    <w:rsid w:val="0DA76959"/>
    <w:rsid w:val="0E2BB85D"/>
    <w:rsid w:val="0E7B169D"/>
    <w:rsid w:val="0E7B2C64"/>
    <w:rsid w:val="0EC11156"/>
    <w:rsid w:val="100CDC05"/>
    <w:rsid w:val="1131D4F3"/>
    <w:rsid w:val="125CC95A"/>
    <w:rsid w:val="128D3240"/>
    <w:rsid w:val="12C7907E"/>
    <w:rsid w:val="130B9599"/>
    <w:rsid w:val="13C03124"/>
    <w:rsid w:val="144166BF"/>
    <w:rsid w:val="144F7704"/>
    <w:rsid w:val="148D523D"/>
    <w:rsid w:val="14FFF314"/>
    <w:rsid w:val="15C50B46"/>
    <w:rsid w:val="1653BBA6"/>
    <w:rsid w:val="1666513D"/>
    <w:rsid w:val="16BA7DA2"/>
    <w:rsid w:val="1785ABE2"/>
    <w:rsid w:val="1799B10B"/>
    <w:rsid w:val="17A5A700"/>
    <w:rsid w:val="17DD39E9"/>
    <w:rsid w:val="17F74DB3"/>
    <w:rsid w:val="1811BA78"/>
    <w:rsid w:val="183103B5"/>
    <w:rsid w:val="18339367"/>
    <w:rsid w:val="190395BA"/>
    <w:rsid w:val="194AB463"/>
    <w:rsid w:val="19789A60"/>
    <w:rsid w:val="1999545B"/>
    <w:rsid w:val="19BA426D"/>
    <w:rsid w:val="19E47870"/>
    <w:rsid w:val="19F45A82"/>
    <w:rsid w:val="1A19CEF9"/>
    <w:rsid w:val="1A6F519D"/>
    <w:rsid w:val="1AFF8A41"/>
    <w:rsid w:val="1B1BBE80"/>
    <w:rsid w:val="1BD3A24C"/>
    <w:rsid w:val="1BE134FB"/>
    <w:rsid w:val="1C3EAD6C"/>
    <w:rsid w:val="1CC2B2E5"/>
    <w:rsid w:val="1D6850E0"/>
    <w:rsid w:val="1E5525DD"/>
    <w:rsid w:val="1E610401"/>
    <w:rsid w:val="1EE1B33B"/>
    <w:rsid w:val="1FA53D4F"/>
    <w:rsid w:val="2034B1DB"/>
    <w:rsid w:val="21E3FDFB"/>
    <w:rsid w:val="22C11A40"/>
    <w:rsid w:val="243F14EB"/>
    <w:rsid w:val="24720F4F"/>
    <w:rsid w:val="250F6670"/>
    <w:rsid w:val="262D4AE4"/>
    <w:rsid w:val="266809FC"/>
    <w:rsid w:val="2749F8CD"/>
    <w:rsid w:val="27AC10AE"/>
    <w:rsid w:val="27FF4649"/>
    <w:rsid w:val="2853F46E"/>
    <w:rsid w:val="292A785B"/>
    <w:rsid w:val="293C6912"/>
    <w:rsid w:val="29401840"/>
    <w:rsid w:val="2A3F73CF"/>
    <w:rsid w:val="2AA542FC"/>
    <w:rsid w:val="2ABD5137"/>
    <w:rsid w:val="2B2F2CE3"/>
    <w:rsid w:val="2BA0A0D3"/>
    <w:rsid w:val="2D0AC961"/>
    <w:rsid w:val="2D8EDF09"/>
    <w:rsid w:val="2E347DDE"/>
    <w:rsid w:val="2EA14F56"/>
    <w:rsid w:val="304889C4"/>
    <w:rsid w:val="307F8F7E"/>
    <w:rsid w:val="30F92D81"/>
    <w:rsid w:val="31BE5130"/>
    <w:rsid w:val="31E3C804"/>
    <w:rsid w:val="31ED43F1"/>
    <w:rsid w:val="31F9306E"/>
    <w:rsid w:val="32700BC8"/>
    <w:rsid w:val="327B01FF"/>
    <w:rsid w:val="327FFBD8"/>
    <w:rsid w:val="3286B022"/>
    <w:rsid w:val="341A3F7C"/>
    <w:rsid w:val="3472A6D8"/>
    <w:rsid w:val="35D62ABE"/>
    <w:rsid w:val="35EA4EEE"/>
    <w:rsid w:val="36C3938A"/>
    <w:rsid w:val="36FF199F"/>
    <w:rsid w:val="372D0E3E"/>
    <w:rsid w:val="37A85800"/>
    <w:rsid w:val="37CCCC7D"/>
    <w:rsid w:val="386D1752"/>
    <w:rsid w:val="38811CF4"/>
    <w:rsid w:val="38F3FEC0"/>
    <w:rsid w:val="39C88A2E"/>
    <w:rsid w:val="3A281E58"/>
    <w:rsid w:val="3A43674B"/>
    <w:rsid w:val="3A7C1CFE"/>
    <w:rsid w:val="3A856C8E"/>
    <w:rsid w:val="3AA1EC76"/>
    <w:rsid w:val="3AB47F56"/>
    <w:rsid w:val="3ADC441E"/>
    <w:rsid w:val="3B3CEB72"/>
    <w:rsid w:val="3C365771"/>
    <w:rsid w:val="3C3B23E2"/>
    <w:rsid w:val="3CCB55EF"/>
    <w:rsid w:val="3D160586"/>
    <w:rsid w:val="3E3D5B4A"/>
    <w:rsid w:val="3E5052E2"/>
    <w:rsid w:val="3E6EA3D1"/>
    <w:rsid w:val="3F15851B"/>
    <w:rsid w:val="3F1E0F08"/>
    <w:rsid w:val="3F499E4B"/>
    <w:rsid w:val="3F5C7A4F"/>
    <w:rsid w:val="3FA9B52E"/>
    <w:rsid w:val="40D2FEEB"/>
    <w:rsid w:val="412FCB4A"/>
    <w:rsid w:val="4196CA14"/>
    <w:rsid w:val="41AC8697"/>
    <w:rsid w:val="41C68C60"/>
    <w:rsid w:val="41FC1EF7"/>
    <w:rsid w:val="426E72A1"/>
    <w:rsid w:val="43119369"/>
    <w:rsid w:val="443A50FE"/>
    <w:rsid w:val="450DBD30"/>
    <w:rsid w:val="454F8A32"/>
    <w:rsid w:val="4567B2B8"/>
    <w:rsid w:val="45B53873"/>
    <w:rsid w:val="46ED6DC6"/>
    <w:rsid w:val="47BE4819"/>
    <w:rsid w:val="47CFBC00"/>
    <w:rsid w:val="47DF4B9F"/>
    <w:rsid w:val="480AC332"/>
    <w:rsid w:val="48E36270"/>
    <w:rsid w:val="4902C2D2"/>
    <w:rsid w:val="49E8C27A"/>
    <w:rsid w:val="4AFBC36B"/>
    <w:rsid w:val="4B174110"/>
    <w:rsid w:val="4B38926D"/>
    <w:rsid w:val="4B42F231"/>
    <w:rsid w:val="4B7C214C"/>
    <w:rsid w:val="4B84206D"/>
    <w:rsid w:val="4C2A6FFB"/>
    <w:rsid w:val="4CF73022"/>
    <w:rsid w:val="4FFD8BD4"/>
    <w:rsid w:val="501B6F20"/>
    <w:rsid w:val="504D69A2"/>
    <w:rsid w:val="506D542C"/>
    <w:rsid w:val="508F3318"/>
    <w:rsid w:val="50C8E432"/>
    <w:rsid w:val="51E02176"/>
    <w:rsid w:val="51F744AF"/>
    <w:rsid w:val="520EE182"/>
    <w:rsid w:val="52AE0BCB"/>
    <w:rsid w:val="52DBA9D3"/>
    <w:rsid w:val="538EB6B1"/>
    <w:rsid w:val="53D27DDC"/>
    <w:rsid w:val="5408EE41"/>
    <w:rsid w:val="5481C79A"/>
    <w:rsid w:val="54FBE888"/>
    <w:rsid w:val="55451F2E"/>
    <w:rsid w:val="5620F56B"/>
    <w:rsid w:val="5677C0A3"/>
    <w:rsid w:val="570D9899"/>
    <w:rsid w:val="5768E009"/>
    <w:rsid w:val="57BABC02"/>
    <w:rsid w:val="580EF8E4"/>
    <w:rsid w:val="5811FE60"/>
    <w:rsid w:val="582C10D2"/>
    <w:rsid w:val="588A11D1"/>
    <w:rsid w:val="58900906"/>
    <w:rsid w:val="595C8F85"/>
    <w:rsid w:val="5A079B4F"/>
    <w:rsid w:val="5A90E07B"/>
    <w:rsid w:val="5B358155"/>
    <w:rsid w:val="5B57D328"/>
    <w:rsid w:val="5B6D7CF7"/>
    <w:rsid w:val="5BBFD571"/>
    <w:rsid w:val="5C456109"/>
    <w:rsid w:val="5F8E7690"/>
    <w:rsid w:val="5F9DDD1E"/>
    <w:rsid w:val="5FACD233"/>
    <w:rsid w:val="60239972"/>
    <w:rsid w:val="60D05AC5"/>
    <w:rsid w:val="60F0F495"/>
    <w:rsid w:val="610BBFF7"/>
    <w:rsid w:val="6153BEB1"/>
    <w:rsid w:val="617D5ED4"/>
    <w:rsid w:val="61827106"/>
    <w:rsid w:val="6183F69F"/>
    <w:rsid w:val="61E2B5E6"/>
    <w:rsid w:val="6398F56B"/>
    <w:rsid w:val="63A2B5BC"/>
    <w:rsid w:val="63C8A85D"/>
    <w:rsid w:val="641744ED"/>
    <w:rsid w:val="6457701B"/>
    <w:rsid w:val="64887A8E"/>
    <w:rsid w:val="64EE6C00"/>
    <w:rsid w:val="6527B59C"/>
    <w:rsid w:val="6531602D"/>
    <w:rsid w:val="663ED1E2"/>
    <w:rsid w:val="66EB7929"/>
    <w:rsid w:val="683C5FA5"/>
    <w:rsid w:val="68929E32"/>
    <w:rsid w:val="68DE3C0C"/>
    <w:rsid w:val="69AB2EF9"/>
    <w:rsid w:val="69F26202"/>
    <w:rsid w:val="6AFBCF29"/>
    <w:rsid w:val="6B3F619C"/>
    <w:rsid w:val="6B5C10D3"/>
    <w:rsid w:val="6B975926"/>
    <w:rsid w:val="6BB4A852"/>
    <w:rsid w:val="6C312A9B"/>
    <w:rsid w:val="6C42B029"/>
    <w:rsid w:val="6C9B4314"/>
    <w:rsid w:val="6D113AA6"/>
    <w:rsid w:val="6D87CC4D"/>
    <w:rsid w:val="6DEF7761"/>
    <w:rsid w:val="6E7FB01A"/>
    <w:rsid w:val="703C0A76"/>
    <w:rsid w:val="7075FAC2"/>
    <w:rsid w:val="70A6220A"/>
    <w:rsid w:val="70B0A0B1"/>
    <w:rsid w:val="7166DD5F"/>
    <w:rsid w:val="71D5A92F"/>
    <w:rsid w:val="724CB3E8"/>
    <w:rsid w:val="728F0370"/>
    <w:rsid w:val="72F29F49"/>
    <w:rsid w:val="73304CC5"/>
    <w:rsid w:val="736B3613"/>
    <w:rsid w:val="7382E018"/>
    <w:rsid w:val="7408EE3E"/>
    <w:rsid w:val="740E6DAB"/>
    <w:rsid w:val="743C3A0B"/>
    <w:rsid w:val="7485B491"/>
    <w:rsid w:val="74950A9A"/>
    <w:rsid w:val="74F4CAA4"/>
    <w:rsid w:val="75188F0A"/>
    <w:rsid w:val="75464123"/>
    <w:rsid w:val="75628A1D"/>
    <w:rsid w:val="75B1B0E4"/>
    <w:rsid w:val="76204BCE"/>
    <w:rsid w:val="7634B34B"/>
    <w:rsid w:val="7644473C"/>
    <w:rsid w:val="76A20550"/>
    <w:rsid w:val="77BCE1F0"/>
    <w:rsid w:val="78F6DB4B"/>
    <w:rsid w:val="79583404"/>
    <w:rsid w:val="79F4777E"/>
    <w:rsid w:val="7A57CAE1"/>
    <w:rsid w:val="7AE3F18D"/>
    <w:rsid w:val="7AF4C259"/>
    <w:rsid w:val="7B1473E8"/>
    <w:rsid w:val="7BF88C73"/>
    <w:rsid w:val="7C2DC3C5"/>
    <w:rsid w:val="7CF29FCA"/>
    <w:rsid w:val="7D165EC1"/>
    <w:rsid w:val="7DD4DC9E"/>
    <w:rsid w:val="7E130CD2"/>
    <w:rsid w:val="7F2DD764"/>
    <w:rsid w:val="7F54C07C"/>
    <w:rsid w:val="7F5FDB66"/>
    <w:rsid w:val="7F6A8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F6670"/>
  <w15:chartTrackingRefBased/>
  <w15:docId w15:val="{C9857D14-DB7C-4F23-AE08-48D3015B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uiPriority w:val="9"/>
    <w:unhideWhenUsed/>
    <w:qFormat/>
    <w:rsid w:val="051D6B2D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F575F"/>
    <w:rPr>
      <w:rFonts w:ascii="Times New Roman" w:hAnsi="Times New Roman" w:cs="Times New Roman"/>
    </w:rPr>
  </w:style>
  <w:style w:type="character" w:customStyle="1" w:styleId="Hyperlink0">
    <w:name w:val="Hyperlink.0"/>
    <w:basedOn w:val="Standardnpsmoodstavce"/>
    <w:uiPriority w:val="1"/>
    <w:rsid w:val="520EE182"/>
    <w:rPr>
      <w:rFonts w:ascii="Times New Roman" w:eastAsia="Arial Unicode MS" w:hAnsi="Times New Roman" w:cs="Times New Roman"/>
      <w:color w:val="0563C1"/>
      <w:sz w:val="20"/>
      <w:szCs w:val="20"/>
      <w:u w:val="single"/>
    </w:rPr>
  </w:style>
  <w:style w:type="character" w:customStyle="1" w:styleId="Hyperlink1">
    <w:name w:val="Hyperlink.1"/>
    <w:basedOn w:val="Standardnpsmoodstavce"/>
    <w:uiPriority w:val="1"/>
    <w:rsid w:val="520EE182"/>
    <w:rPr>
      <w:rFonts w:ascii="Calibri" w:eastAsia="Calibri" w:hAnsi="Calibri" w:cs="Calibri"/>
      <w:i/>
      <w:iCs/>
      <w:color w:val="0563C1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520EE182"/>
    <w:rPr>
      <w:color w:val="467886"/>
      <w:u w:val="single"/>
    </w:rPr>
  </w:style>
  <w:style w:type="paragraph" w:styleId="Zhlav">
    <w:name w:val="header"/>
    <w:basedOn w:val="Normln"/>
    <w:link w:val="ZhlavChar"/>
    <w:unhideWhenUsed/>
    <w:rsid w:val="00517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7E27"/>
  </w:style>
  <w:style w:type="paragraph" w:styleId="Zpat">
    <w:name w:val="footer"/>
    <w:basedOn w:val="Normln"/>
    <w:link w:val="ZpatChar"/>
    <w:uiPriority w:val="99"/>
    <w:unhideWhenUsed/>
    <w:rsid w:val="00517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7E27"/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431957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6F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6F8F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">
    <w:name w:val="Table Normal1"/>
    <w:uiPriority w:val="99"/>
    <w:semiHidden/>
    <w:unhideWhenUsed/>
    <w:rsid w:val="00AA5FF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9B0987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B02D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B02D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enisa.kolarikova@crestcom.cz" TargetMode="External"/><Relationship Id="rId18" Type="http://schemas.openxmlformats.org/officeDocument/2006/relationships/hyperlink" Target="https://www.afi-europe.cz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mailto:klara.pirochova@knktr.cz" TargetMode="External"/><Relationship Id="rId17" Type="http://schemas.openxmlformats.org/officeDocument/2006/relationships/hyperlink" Target="https://cz.linkedin.com/company/afi-czech-republi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kanska.cz/co-delame/development/komercni-development/&#160;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tra.vesela@skanska.cz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facebook.com/Skanska.v.CR.a.SR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linkedin.com/company/skanska/?originalSubdomain=cz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5ed19e-4bae-46f6-8842-755f17a05d97">
      <Terms xmlns="http://schemas.microsoft.com/office/infopath/2007/PartnerControls"/>
    </lcf76f155ced4ddcb4097134ff3c332f>
    <TaxCatchAll xmlns="9254fb84-3322-4562-b8a8-596d72c52dc3" xsi:nil="true"/>
    <Lp xmlns="2a5ed19e-4bae-46f6-8842-755f17a05d9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B2175FD1E2D45B2F2AC5838395223" ma:contentTypeVersion="19" ma:contentTypeDescription="Create a new document." ma:contentTypeScope="" ma:versionID="fcca5fd8a67eca2dc0c435f283b81395">
  <xsd:schema xmlns:xsd="http://www.w3.org/2001/XMLSchema" xmlns:xs="http://www.w3.org/2001/XMLSchema" xmlns:p="http://schemas.microsoft.com/office/2006/metadata/properties" xmlns:ns2="2a5ed19e-4bae-46f6-8842-755f17a05d97" xmlns:ns3="9254fb84-3322-4562-b8a8-596d72c52dc3" targetNamespace="http://schemas.microsoft.com/office/2006/metadata/properties" ma:root="true" ma:fieldsID="fca5de12372940714e59f00d24a4039f" ns2:_="" ns3:_="">
    <xsd:import namespace="2a5ed19e-4bae-46f6-8842-755f17a05d97"/>
    <xsd:import namespace="9254fb84-3322-4562-b8a8-596d72c52d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p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ed19e-4bae-46f6-8842-755f17a05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p" ma:index="21" nillable="true" ma:displayName="Lp" ma:format="Dropdown" ma:internalName="Lp" ma:percentage="FALSE">
      <xsd:simpleType>
        <xsd:restriction base="dms:Number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533c6e3-e9ba-409f-9000-32e1bbf30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4fb84-3322-4562-b8a8-596d72c52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ea3ec54-e935-437c-8898-568a2fa77699}" ma:internalName="TaxCatchAll" ma:showField="CatchAllData" ma:web="9254fb84-3322-4562-b8a8-596d72c52d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D329A3-BE85-44CE-90B5-A32D57447B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78C1C-BC6A-4808-8732-D53836075153}">
  <ds:schemaRefs>
    <ds:schemaRef ds:uri="http://schemas.microsoft.com/office/2006/metadata/properties"/>
    <ds:schemaRef ds:uri="http://schemas.microsoft.com/office/infopath/2007/PartnerControls"/>
    <ds:schemaRef ds:uri="2a5ed19e-4bae-46f6-8842-755f17a05d97"/>
    <ds:schemaRef ds:uri="9254fb84-3322-4562-b8a8-596d72c52dc3"/>
  </ds:schemaRefs>
</ds:datastoreItem>
</file>

<file path=customXml/itemProps3.xml><?xml version="1.0" encoding="utf-8"?>
<ds:datastoreItem xmlns:ds="http://schemas.openxmlformats.org/officeDocument/2006/customXml" ds:itemID="{A31BD4DD-1729-49FE-BD54-8FA614F703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C9570A-8728-4C6B-8BF7-452CFD83F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5ed19e-4bae-46f6-8842-755f17a05d97"/>
    <ds:schemaRef ds:uri="9254fb84-3322-4562-b8a8-596d72c52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1175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Links>
    <vt:vector size="24" baseType="variant">
      <vt:variant>
        <vt:i4>3539061</vt:i4>
      </vt:variant>
      <vt:variant>
        <vt:i4>9</vt:i4>
      </vt:variant>
      <vt:variant>
        <vt:i4>0</vt:i4>
      </vt:variant>
      <vt:variant>
        <vt:i4>5</vt:i4>
      </vt:variant>
      <vt:variant>
        <vt:lpwstr>https://www.skanska.cz/co-delame/development/komercni-development/ </vt:lpwstr>
      </vt:variant>
      <vt:variant>
        <vt:lpwstr/>
      </vt:variant>
      <vt:variant>
        <vt:i4>2162728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https://www.facebook.com/Skanska.v.CR.a.SR/</vt:lpwstr>
      </vt:variant>
      <vt:variant>
        <vt:lpwstr/>
      </vt:variant>
      <vt:variant>
        <vt:i4>2228259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https://www.linkedin.com/company/skanska/?originalSubdomain=cz</vt:lpwstr>
      </vt:variant>
      <vt:variant>
        <vt:lpwstr/>
      </vt:variant>
      <vt:variant>
        <vt:i4>1310833</vt:i4>
      </vt:variant>
      <vt:variant>
        <vt:i4>0</vt:i4>
      </vt:variant>
      <vt:variant>
        <vt:i4>0</vt:i4>
      </vt:variant>
      <vt:variant>
        <vt:i4>5</vt:i4>
      </vt:variant>
      <vt:variant>
        <vt:lpwstr>mailto:petra.vesela@skanska.cz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Menclova</dc:creator>
  <cp:keywords/>
  <dc:description/>
  <cp:lastModifiedBy>Veselá, Petra</cp:lastModifiedBy>
  <cp:revision>5</cp:revision>
  <cp:lastPrinted>2025-12-03T09:27:00Z</cp:lastPrinted>
  <dcterms:created xsi:type="dcterms:W3CDTF">2025-12-03T09:36:00Z</dcterms:created>
  <dcterms:modified xsi:type="dcterms:W3CDTF">2025-12-03T09:49:00Z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0x0101006F5B2175FD1E2D45B2F2AC5838395223</vt:lpwstr>
  </property>
  <property fmtid="{D5CDD505-2E9C-101B-9397-08002B2CF9AE}" pid="4" name="ClassificationContentMarkingHeaderShapeIds">
    <vt:lpwstr>cd886f5,75c4b51f,5aaadde4</vt:lpwstr>
  </property>
  <property fmtid="{D5CDD505-2E9C-101B-9397-08002B2CF9AE}" pid="5" name="ClassificationContentMarkingHeaderFontProps">
    <vt:lpwstr>#000000,8,Calibri</vt:lpwstr>
  </property>
  <property fmtid="{D5CDD505-2E9C-101B-9397-08002B2CF9AE}" pid="6" name="ClassificationContentMarkingHeaderText">
    <vt:lpwstr>General</vt:lpwstr>
  </property>
  <property fmtid="{D5CDD505-2E9C-101B-9397-08002B2CF9AE}" pid="7" name="MSIP_Label_aee490da-fed8-48ce-ab1f-32dee818a6c1_Enabled">
    <vt:lpwstr>true</vt:lpwstr>
  </property>
  <property fmtid="{D5CDD505-2E9C-101B-9397-08002B2CF9AE}" pid="8" name="MSIP_Label_aee490da-fed8-48ce-ab1f-32dee818a6c1_SetDate">
    <vt:lpwstr>2025-01-30T11:23:58Z</vt:lpwstr>
  </property>
  <property fmtid="{D5CDD505-2E9C-101B-9397-08002B2CF9AE}" pid="9" name="MSIP_Label_aee490da-fed8-48ce-ab1f-32dee818a6c1_Method">
    <vt:lpwstr>Standard</vt:lpwstr>
  </property>
  <property fmtid="{D5CDD505-2E9C-101B-9397-08002B2CF9AE}" pid="10" name="MSIP_Label_aee490da-fed8-48ce-ab1f-32dee818a6c1_Name">
    <vt:lpwstr>General-Marking</vt:lpwstr>
  </property>
  <property fmtid="{D5CDD505-2E9C-101B-9397-08002B2CF9AE}" pid="11" name="MSIP_Label_aee490da-fed8-48ce-ab1f-32dee818a6c1_SiteId">
    <vt:lpwstr>33dab507-5210-4075-805b-f2717d8cfa74</vt:lpwstr>
  </property>
  <property fmtid="{D5CDD505-2E9C-101B-9397-08002B2CF9AE}" pid="12" name="MSIP_Label_aee490da-fed8-48ce-ab1f-32dee818a6c1_ActionId">
    <vt:lpwstr>063d1571-f10f-4277-9004-e5e9451fa21f</vt:lpwstr>
  </property>
  <property fmtid="{D5CDD505-2E9C-101B-9397-08002B2CF9AE}" pid="13" name="MSIP_Label_aee490da-fed8-48ce-ab1f-32dee818a6c1_ContentBits">
    <vt:lpwstr>1</vt:lpwstr>
  </property>
</Properties>
</file>